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2025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Maerz 2025 planmaessig in der laufenden Phase. Termintreue mit leichter Verzoegerung; Massnahmen wirken.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April 2025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