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September 2023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September 2023 planmaessig in der laufenden Phase. Termin- und Budget-konform; keine kritischen Risiken offen.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Oktober 2023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