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Status September 2023 – PRJ-2023-004</w:t>
      </w:r>
    </w:p>
    <w:p>
      <w:pPr>
        <w:jc w:val="center"/>
      </w:pPr>
      <w:r>
        <w:t>Cost Reduction Program CZ | Projekt-Statusbericht (monatlich)</w:t>
      </w:r>
    </w:p>
    <w:p/>
    <w:p>
      <w:pPr>
        <w:pStyle w:val="Heading3"/>
      </w:pPr>
      <w:r>
        <w:t>1. Projekt-Identifikation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Projekt-ID</w:t>
            </w:r>
          </w:p>
        </w:tc>
        <w:tc>
          <w:tcPr>
            <w:tcW w:type="dxa" w:w="4320"/>
          </w:tcPr>
          <w:p>
            <w:r>
              <w:t>PRJ-2023-004</w:t>
            </w:r>
          </w:p>
        </w:tc>
      </w:tr>
      <w:tr>
        <w:tc>
          <w:tcPr>
            <w:tcW w:type="dxa" w:w="4320"/>
          </w:tcPr>
          <w:p>
            <w:r>
              <w:t>Projekt-Titel</w:t>
            </w:r>
          </w:p>
        </w:tc>
        <w:tc>
          <w:tcPr>
            <w:tcW w:type="dxa" w:w="4320"/>
          </w:tcPr>
          <w:p>
            <w:r>
              <w:t>Cost Reduction Program CZ</w:t>
            </w:r>
          </w:p>
        </w:tc>
      </w:tr>
      <w:tr>
        <w:tc>
          <w:tcPr>
            <w:tcW w:type="dxa" w:w="4320"/>
          </w:tcPr>
          <w:p>
            <w:r>
              <w:t>Produktbezug</w:t>
            </w:r>
          </w:p>
        </w:tc>
        <w:tc>
          <w:tcPr>
            <w:tcW w:type="dxa" w:w="4320"/>
          </w:tcPr>
          <w:p>
            <w:r>
              <w:t>RCZ Steckverbinder</w:t>
            </w:r>
          </w:p>
        </w:tc>
      </w:tr>
      <w:tr>
        <w:tc>
          <w:tcPr>
            <w:tcW w:type="dxa" w:w="4320"/>
          </w:tcPr>
          <w:p>
            <w:r>
              <w:t>Hauptkunde / OEM</w:t>
            </w:r>
          </w:p>
        </w:tc>
        <w:tc>
          <w:tcPr>
            <w:tcW w:type="dxa" w:w="4320"/>
          </w:tcPr>
          <w:p>
            <w:r>
              <w:t>intern</w:t>
            </w:r>
          </w:p>
        </w:tc>
      </w:tr>
      <w:tr>
        <w:tc>
          <w:tcPr>
            <w:tcW w:type="dxa" w:w="4320"/>
          </w:tcPr>
          <w:p>
            <w:r>
              <w:t>Projektleitung</w:t>
            </w:r>
          </w:p>
        </w:tc>
        <w:tc>
          <w:tcPr>
            <w:tcW w:type="dxa" w:w="4320"/>
          </w:tcPr>
          <w:p>
            <w:r>
              <w:t>Petr Novak (Werkleiter RCZ)</w:t>
            </w:r>
          </w:p>
        </w:tc>
      </w:tr>
      <w:tr>
        <w:tc>
          <w:tcPr>
            <w:tcW w:type="dxa" w:w="4320"/>
          </w:tcPr>
          <w:p>
            <w:r>
              <w:t>Projekt-Sponsor</w:t>
            </w:r>
          </w:p>
        </w:tc>
        <w:tc>
          <w:tcPr>
            <w:tcW w:type="dxa" w:w="4320"/>
          </w:tcPr>
          <w:p>
            <w:r>
              <w:t>Dr. Thomas Weber (COO)</w:t>
            </w:r>
          </w:p>
        </w:tc>
      </w:tr>
      <w:tr>
        <w:tc>
          <w:tcPr>
            <w:tcW w:type="dxa" w:w="4320"/>
          </w:tcPr>
          <w:p>
            <w:r>
              <w:t>Berichtsmonat</w:t>
            </w:r>
          </w:p>
        </w:tc>
        <w:tc>
          <w:tcPr>
            <w:tcW w:type="dxa" w:w="4320"/>
          </w:tcPr>
          <w:p>
            <w:r>
              <w:t>September 2023</w:t>
            </w:r>
          </w:p>
        </w:tc>
      </w:tr>
      <w:tr>
        <w:tc>
          <w:tcPr>
            <w:tcW w:type="dxa" w:w="4320"/>
          </w:tcPr>
          <w:p>
            <w:r>
              <w:t>Erstellt am</w:t>
            </w:r>
          </w:p>
        </w:tc>
        <w:tc>
          <w:tcPr>
            <w:tcW w:type="dxa" w:w="4320"/>
          </w:tcPr>
          <w:p>
            <w:r>
              <w:t>05. Oktober 2023</w:t>
            </w:r>
          </w:p>
        </w:tc>
      </w:tr>
    </w:tbl>
    <w:p>
      <w:pPr>
        <w:pStyle w:val="Heading3"/>
      </w:pPr>
      <w:r>
        <w:t>2. Status-Ampel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Dimension</w:t>
            </w:r>
          </w:p>
        </w:tc>
        <w:tc>
          <w:tcPr>
            <w:tcW w:type="dxa" w:w="2880"/>
          </w:tcPr>
          <w:p>
            <w:r>
              <w:t>Ampel</w:t>
            </w:r>
          </w:p>
        </w:tc>
        <w:tc>
          <w:tcPr>
            <w:tcW w:type="dxa" w:w="2880"/>
          </w:tcPr>
          <w:p>
            <w:r>
              <w:t>Kommentar</w:t>
            </w:r>
          </w:p>
        </w:tc>
      </w:tr>
      <w:tr>
        <w:tc>
          <w:tcPr>
            <w:tcW w:type="dxa" w:w="2880"/>
          </w:tcPr>
          <w:p>
            <w:r>
              <w:t>Termin</w:t>
            </w:r>
          </w:p>
        </w:tc>
        <w:tc>
          <w:tcPr>
            <w:tcW w:type="dxa" w:w="2880"/>
          </w:tcPr>
          <w:p>
            <w:r>
              <w:t>GELB</w:t>
            </w:r>
          </w:p>
        </w:tc>
        <w:tc>
          <w:tcPr>
            <w:tcW w:type="dxa" w:w="2880"/>
          </w:tcPr>
          <w:p>
            <w:r>
              <w:t>Bezogen auf Gate-Soll-Termine</w:t>
            </w:r>
          </w:p>
        </w:tc>
      </w:tr>
      <w:tr>
        <w:tc>
          <w:tcPr>
            <w:tcW w:type="dxa" w:w="2880"/>
          </w:tcPr>
          <w:p>
            <w:r>
              <w:t>Budget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EAC vs. Genehmigtes Budget</w:t>
            </w:r>
          </w:p>
        </w:tc>
      </w:tr>
      <w:tr>
        <w:tc>
          <w:tcPr>
            <w:tcW w:type="dxa" w:w="2880"/>
          </w:tcPr>
          <w:p>
            <w:r>
              <w:t>Qualitaet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Defects, Test-Coverage, Q-KPIs</w:t>
            </w:r>
          </w:p>
        </w:tc>
      </w:tr>
      <w:tr>
        <w:tc>
          <w:tcPr>
            <w:tcW w:type="dxa" w:w="2880"/>
          </w:tcPr>
          <w:p>
            <w:r>
              <w:t>Scope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Keine offenen Scope-Aenderungen</w:t>
            </w:r>
          </w:p>
        </w:tc>
      </w:tr>
      <w:tr>
        <w:tc>
          <w:tcPr>
            <w:tcW w:type="dxa" w:w="2880"/>
          </w:tcPr>
          <w:p>
            <w:r>
              <w:t>Risiken</w:t>
            </w:r>
          </w:p>
        </w:tc>
        <w:tc>
          <w:tcPr>
            <w:tcW w:type="dxa" w:w="2880"/>
          </w:tcPr>
          <w:p>
            <w:r>
              <w:t>GELB</w:t>
            </w:r>
          </w:p>
        </w:tc>
        <w:tc>
          <w:tcPr>
            <w:tcW w:type="dxa" w:w="2880"/>
          </w:tcPr>
          <w:p>
            <w:r>
              <w:t>Drei Top-Risiken aktiv, Massnahmen wirksam</w:t>
            </w:r>
          </w:p>
        </w:tc>
      </w:tr>
    </w:tbl>
    <w:p>
      <w:pPr>
        <w:pStyle w:val="Heading3"/>
      </w:pPr>
      <w:r>
        <w:t>3. Zusammenfassung</w:t>
      </w:r>
    </w:p>
    <w:p>
      <w:r>
        <w:t>Das Projekt PRJ-2023-004 (Cost Reduction Program CZ) befindet sich im Berichtsmonat September 2023 planmaessig in der laufenden Phase. Termintreue mit leichter Verzoegerung; Massnahmen wirken. Der Hauptkunde intern wurde im Rahmen der monatlichen OEM-Steuerung informiert und hat den Berichtsstand zur Kenntnis genommen. Die Lenkungsausschuss-Sitzung des laufenden Monats hat die Massnahmen-Plaene zur Kenntnis genommen und keine Eskalation ausgesprochen.</w:t>
      </w:r>
    </w:p>
    <w:p>
      <w:pPr>
        <w:pStyle w:val="Heading3"/>
      </w:pPr>
      <w:r>
        <w:t>4. Fortschritt im Berichtsmonat</w:t>
      </w:r>
    </w:p>
    <w:p>
      <w:pPr>
        <w:pStyle w:val="ListBullet"/>
      </w:pPr>
      <w:r>
        <w:t>Software-Release Candidate v0.9 an OEM ausgeliefert.</w:t>
      </w:r>
    </w:p>
    <w:p>
      <w:pPr>
        <w:pStyle w:val="ListBullet"/>
      </w:pPr>
      <w:r>
        <w:t>Bug-Fix-Rate aus letzter Iteration: 38 Defects, 35 geschlossen.</w:t>
      </w:r>
    </w:p>
    <w:p>
      <w:pPr>
        <w:pStyle w:val="ListBullet"/>
      </w:pPr>
      <w:r>
        <w:t>Doku-Pakete fuer Gate-Review vorbereitet (RTM, FMEA, Q-Plan).</w:t>
      </w:r>
    </w:p>
    <w:p>
      <w:pPr>
        <w:pStyle w:val="ListBullet"/>
      </w:pPr>
      <w:r>
        <w:t>Lieferanten-Audit (VDA 6.3) bei Tier-2-Lieferant abgeschlossen.</w:t>
      </w:r>
    </w:p>
    <w:p>
      <w:pPr>
        <w:pStyle w:val="Heading3"/>
      </w:pPr>
      <w:r>
        <w:t>5. Top-3-Risiken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Risiko</w:t>
            </w:r>
          </w:p>
        </w:tc>
        <w:tc>
          <w:tcPr>
            <w:tcW w:type="dxa" w:w="2160"/>
          </w:tcPr>
          <w:p>
            <w:r>
              <w:t>Bewertung</w:t>
            </w:r>
          </w:p>
        </w:tc>
        <w:tc>
          <w:tcPr>
            <w:tcW w:type="dxa" w:w="2160"/>
          </w:tcPr>
          <w:p>
            <w:r>
              <w:t>Massnahme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</w:tr>
      <w:tr>
        <w:tc>
          <w:tcPr>
            <w:tcW w:type="dxa" w:w="2160"/>
          </w:tcPr>
          <w:p>
            <w:r>
              <w:t>Halbleiter-Allocation (Aurix/SoC)</w:t>
            </w:r>
          </w:p>
        </w:tc>
        <w:tc>
          <w:tcPr>
            <w:tcW w:type="dxa" w:w="2160"/>
          </w:tcPr>
          <w:p>
            <w:r>
              <w:t>Hoch</w:t>
            </w:r>
          </w:p>
        </w:tc>
        <w:tc>
          <w:tcPr>
            <w:tcW w:type="dxa" w:w="2160"/>
          </w:tcPr>
          <w:p>
            <w:r>
              <w:t>Strategic-Sourcing Eskalation</w:t>
            </w:r>
          </w:p>
        </w:tc>
        <w:tc>
          <w:tcPr>
            <w:tcW w:type="dxa" w:w="2160"/>
          </w:tcPr>
          <w:p>
            <w:r>
              <w:t>Group Purchasing</w:t>
            </w:r>
          </w:p>
        </w:tc>
      </w:tr>
      <w:tr>
        <w:tc>
          <w:tcPr>
            <w:tcW w:type="dxa" w:w="2160"/>
          </w:tcPr>
          <w:p>
            <w:r>
              <w:t>OEM-Spec-Spaetaenderung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CCB-Steuerung + Change-Control</w:t>
            </w:r>
          </w:p>
        </w:tc>
        <w:tc>
          <w:tcPr>
            <w:tcW w:type="dxa" w:w="2160"/>
          </w:tcPr>
          <w:p>
            <w:r>
              <w:t>PMO</w:t>
            </w:r>
          </w:p>
        </w:tc>
      </w:tr>
      <w:tr>
        <w:tc>
          <w:tcPr>
            <w:tcW w:type="dxa" w:w="2160"/>
          </w:tcPr>
          <w:p>
            <w:r>
              <w:t>Personalverfuegbarkeit Engineering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Capacity-Planning RSG</w:t>
            </w:r>
          </w:p>
        </w:tc>
        <w:tc>
          <w:tcPr>
            <w:tcW w:type="dxa" w:w="2160"/>
          </w:tcPr>
          <w:p>
            <w:r>
              <w:t>RSG Werkleitung</w:t>
            </w:r>
          </w:p>
        </w:tc>
      </w:tr>
    </w:tbl>
    <w:p>
      <w:pPr>
        <w:pStyle w:val="Heading3"/>
      </w:pPr>
      <w:r>
        <w:t>6. Budget-/Termin-Forecast</w:t>
      </w:r>
    </w:p>
    <w:p>
      <w:r>
        <w:t>Der Budget-Forecast (EAC) liegt aktuell innerhalb der vom Vorstand genehmigten Toleranz von 5 %. Die Termin-Verzuege aus den vorausgegangenen Phasen wurden teilweise durch parallelisierte Validierung kompensiert. Der naechste Termin-Update erfolgt im Rahmen der monatlichen Lenkungsausschuss-Sitzung.</w:t>
      </w:r>
    </w:p>
    <w:p>
      <w:pPr>
        <w:pStyle w:val="Heading3"/>
      </w:pPr>
      <w:r>
        <w:t>7. Themen / Plan fuer Folgemonat</w:t>
      </w:r>
    </w:p>
    <w:p>
      <w:pPr>
        <w:pStyle w:val="ListBullet"/>
      </w:pPr>
      <w:r>
        <w:t>B-Muster-Auslieferung an OEM</w:t>
      </w:r>
    </w:p>
    <w:p>
      <w:pPr>
        <w:pStyle w:val="ListBullet"/>
      </w:pPr>
      <w:r>
        <w:t>Pruefraum-Belegung absichern</w:t>
      </w:r>
    </w:p>
    <w:p>
      <w:pPr>
        <w:pStyle w:val="ListBullet"/>
      </w:pPr>
      <w:r>
        <w:t>Software-Drop v1.0</w:t>
      </w:r>
    </w:p>
    <w:p>
      <w:pPr>
        <w:pStyle w:val="ListBullet"/>
      </w:pPr>
      <w:r>
        <w:t>Personalplanung Folgequartal</w:t>
      </w:r>
    </w:p>
    <w:p>
      <w:pPr>
        <w:pStyle w:val="Heading3"/>
      </w:pPr>
      <w:r>
        <w:t>8. Unterschrift / Freigabe</w:t>
      </w:r>
    </w:p>
    <w:p>
      <w:r>
        <w:t>Ort, Datum: Stuttgart, den 05. Oktober 2023</w:t>
      </w:r>
    </w:p>
    <w:p>
      <w:r>
        <w:t>_________________________            _________________________</w:t>
        <w:br/>
        <w:t>Petr Novak (Werkleiter RCZ)                          Dr. Thomas Weber</w:t>
        <w:br/>
        <w:t>Projektleitung                          Projekt-Sponsor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