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Status Dezember 2023 – PRJ-2023-004</w:t>
      </w:r>
    </w:p>
    <w:p>
      <w:pPr>
        <w:jc w:val="center"/>
      </w:pPr>
      <w:r>
        <w:t>Cost Reduction Program CZ | Projekt-Statusbericht (monatlich)</w:t>
      </w:r>
    </w:p>
    <w:p/>
    <w:p>
      <w:pPr>
        <w:pStyle w:val="Heading3"/>
      </w:pPr>
      <w:r>
        <w:t>1. Projekt-Identifikation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PRJ-2023-004</w:t>
            </w:r>
          </w:p>
        </w:tc>
      </w:tr>
      <w:tr>
        <w:tc>
          <w:tcPr>
            <w:tcW w:type="dxa" w:w="4320"/>
          </w:tcPr>
          <w:p>
            <w:r>
              <w:t>Projekt-Titel</w:t>
            </w:r>
          </w:p>
        </w:tc>
        <w:tc>
          <w:tcPr>
            <w:tcW w:type="dxa" w:w="4320"/>
          </w:tcPr>
          <w:p>
            <w:r>
              <w:t>Cost Reduction Program CZ</w:t>
            </w:r>
          </w:p>
        </w:tc>
      </w:tr>
      <w:tr>
        <w:tc>
          <w:tcPr>
            <w:tcW w:type="dxa" w:w="4320"/>
          </w:tcPr>
          <w:p>
            <w:r>
              <w:t>Produktbezug</w:t>
            </w:r>
          </w:p>
        </w:tc>
        <w:tc>
          <w:tcPr>
            <w:tcW w:type="dxa" w:w="4320"/>
          </w:tcPr>
          <w:p>
            <w:r>
              <w:t>RCZ Steckverbinder</w:t>
            </w:r>
          </w:p>
        </w:tc>
      </w:tr>
      <w:tr>
        <w:tc>
          <w:tcPr>
            <w:tcW w:type="dxa" w:w="4320"/>
          </w:tcPr>
          <w:p>
            <w:r>
              <w:t>Hauptkunde / OEM</w:t>
            </w:r>
          </w:p>
        </w:tc>
        <w:tc>
          <w:tcPr>
            <w:tcW w:type="dxa" w:w="4320"/>
          </w:tcPr>
          <w:p>
            <w:r>
              <w:t>intern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Petr Novak (Werkleiter RCZ)</w:t>
            </w:r>
          </w:p>
        </w:tc>
      </w:tr>
      <w:tr>
        <w:tc>
          <w:tcPr>
            <w:tcW w:type="dxa" w:w="4320"/>
          </w:tcPr>
          <w:p>
            <w:r>
              <w:t>Projekt-Sponsor</w:t>
            </w:r>
          </w:p>
        </w:tc>
        <w:tc>
          <w:tcPr>
            <w:tcW w:type="dxa" w:w="4320"/>
          </w:tcPr>
          <w:p>
            <w:r>
              <w:t>Dr. Thomas Weber (COO)</w:t>
            </w:r>
          </w:p>
        </w:tc>
      </w:tr>
      <w:tr>
        <w:tc>
          <w:tcPr>
            <w:tcW w:type="dxa" w:w="4320"/>
          </w:tcPr>
          <w:p>
            <w:r>
              <w:t>Berichtsmonat</w:t>
            </w:r>
          </w:p>
        </w:tc>
        <w:tc>
          <w:tcPr>
            <w:tcW w:type="dxa" w:w="4320"/>
          </w:tcPr>
          <w:p>
            <w:r>
              <w:t>Dezember 2023</w:t>
            </w:r>
          </w:p>
        </w:tc>
      </w:tr>
      <w:tr>
        <w:tc>
          <w:tcPr>
            <w:tcW w:type="dxa" w:w="4320"/>
          </w:tcPr>
          <w:p>
            <w:r>
              <w:t>Erstellt am</w:t>
            </w:r>
          </w:p>
        </w:tc>
        <w:tc>
          <w:tcPr>
            <w:tcW w:type="dxa" w:w="4320"/>
          </w:tcPr>
          <w:p>
            <w:r>
              <w:t>05. Januar 2024</w:t>
            </w:r>
          </w:p>
        </w:tc>
      </w:tr>
    </w:tbl>
    <w:p>
      <w:pPr>
        <w:pStyle w:val="Heading3"/>
      </w:pPr>
      <w:r>
        <w:t>2. Status-Ampel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Ampel</w:t>
            </w:r>
          </w:p>
        </w:tc>
        <w:tc>
          <w:tcPr>
            <w:tcW w:type="dxa" w:w="2880"/>
          </w:tcPr>
          <w:p>
            <w:r>
              <w:t>Kommentar</w:t>
            </w:r>
          </w:p>
        </w:tc>
      </w:tr>
      <w:tr>
        <w:tc>
          <w:tcPr>
            <w:tcW w:type="dxa" w:w="2880"/>
          </w:tcPr>
          <w:p>
            <w:r>
              <w:t>Termin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Bezogen auf Gate-Soll-Termine</w:t>
            </w:r>
          </w:p>
        </w:tc>
      </w:tr>
      <w:tr>
        <w:tc>
          <w:tcPr>
            <w:tcW w:type="dxa" w:w="2880"/>
          </w:tcPr>
          <w:p>
            <w:r>
              <w:t>Budget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EAC vs. Genehmigtes Budget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Defects, Test-Coverage, Q-KPIs</w:t>
            </w:r>
          </w:p>
        </w:tc>
      </w:tr>
      <w:tr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GRUEN</w:t>
            </w:r>
          </w:p>
        </w:tc>
        <w:tc>
          <w:tcPr>
            <w:tcW w:type="dxa" w:w="2880"/>
          </w:tcPr>
          <w:p>
            <w:r>
              <w:t>Keine offenen Scope-Aenderungen</w:t>
            </w:r>
          </w:p>
        </w:tc>
      </w:tr>
      <w:tr>
        <w:tc>
          <w:tcPr>
            <w:tcW w:type="dxa" w:w="2880"/>
          </w:tcPr>
          <w:p>
            <w:r>
              <w:t>Risiken</w:t>
            </w:r>
          </w:p>
        </w:tc>
        <w:tc>
          <w:tcPr>
            <w:tcW w:type="dxa" w:w="2880"/>
          </w:tcPr>
          <w:p>
            <w:r>
              <w:t>GELB</w:t>
            </w:r>
          </w:p>
        </w:tc>
        <w:tc>
          <w:tcPr>
            <w:tcW w:type="dxa" w:w="2880"/>
          </w:tcPr>
          <w:p>
            <w:r>
              <w:t>Drei Top-Risiken aktiv, Massnahmen wirksam</w:t>
            </w:r>
          </w:p>
        </w:tc>
      </w:tr>
    </w:tbl>
    <w:p>
      <w:pPr>
        <w:pStyle w:val="Heading3"/>
      </w:pPr>
      <w:r>
        <w:t>3. Zusammenfassung</w:t>
      </w:r>
    </w:p>
    <w:p>
      <w:r>
        <w:t>Das Projekt PRJ-2023-004 (Cost Reduction Program CZ) befindet sich im Berichtsmonat Dezember 2023 planmaessig in der laufenden Phase. Stabil im Plan. Der Hauptkunde intern wurde im Rahmen der monatlichen OEM-Steuerung informiert und hat den Berichtsstand zur Kenntnis genommen. Die Lenkungsausschuss-Sitzung des laufenden Monats hat die Massnahmen-Plaene zur Kenntnis genommen und keine Eskalation ausgesprochen.</w:t>
      </w:r>
    </w:p>
    <w:p>
      <w:pPr>
        <w:pStyle w:val="Heading3"/>
      </w:pPr>
      <w:r>
        <w:t>4. Fortschritt im Berichtsmonat</w:t>
      </w:r>
    </w:p>
    <w:p>
      <w:pPr>
        <w:pStyle w:val="ListBullet"/>
      </w:pPr>
      <w:r>
        <w:t>Code-Review-Quote auf 92 % gesteigert (Ziel 90 %).</w:t>
      </w:r>
    </w:p>
    <w:p>
      <w:pPr>
        <w:pStyle w:val="ListBullet"/>
      </w:pPr>
      <w:r>
        <w:t>Erste EMV-Pre-Test-Reihe im REA-Labor abgeschlossen (PASS).</w:t>
      </w:r>
    </w:p>
    <w:p>
      <w:pPr>
        <w:pStyle w:val="ListBullet"/>
      </w:pPr>
      <w:r>
        <w:t>OEM-Workshop in Wolfsburg / Stuttgart durchgefuehrt (3 Tage).</w:t>
      </w:r>
    </w:p>
    <w:p>
      <w:pPr>
        <w:pStyle w:val="ListBullet"/>
      </w:pPr>
      <w:r>
        <w:t>Aenderungen aus Change-Board CCB-2023-04 eingearbeitet.</w:t>
      </w:r>
    </w:p>
    <w:p>
      <w:pPr>
        <w:pStyle w:val="Heading3"/>
      </w:pPr>
      <w:r>
        <w:t>5. Top-3-Risiken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Risiko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</w:tr>
      <w:tr>
        <w:tc>
          <w:tcPr>
            <w:tcW w:type="dxa" w:w="2160"/>
          </w:tcPr>
          <w:p>
            <w:r>
              <w:t>Halbleiter-Allocation (Aurix/SoC)</w:t>
            </w:r>
          </w:p>
        </w:tc>
        <w:tc>
          <w:tcPr>
            <w:tcW w:type="dxa" w:w="2160"/>
          </w:tcPr>
          <w:p>
            <w:r>
              <w:t>Hoch</w:t>
            </w:r>
          </w:p>
        </w:tc>
        <w:tc>
          <w:tcPr>
            <w:tcW w:type="dxa" w:w="2160"/>
          </w:tcPr>
          <w:p>
            <w:r>
              <w:t>Strategic-Sourcing Eskalation</w:t>
            </w:r>
          </w:p>
        </w:tc>
        <w:tc>
          <w:tcPr>
            <w:tcW w:type="dxa" w:w="2160"/>
          </w:tcPr>
          <w:p>
            <w:r>
              <w:t>Group Purchasing</w:t>
            </w:r>
          </w:p>
        </w:tc>
      </w:tr>
      <w:tr>
        <w:tc>
          <w:tcPr>
            <w:tcW w:type="dxa" w:w="2160"/>
          </w:tcPr>
          <w:p>
            <w:r>
              <w:t>OEM-Spec-Spaetaenderung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CCB-Steuerung + Change-Control</w:t>
            </w:r>
          </w:p>
        </w:tc>
        <w:tc>
          <w:tcPr>
            <w:tcW w:type="dxa" w:w="2160"/>
          </w:tcPr>
          <w:p>
            <w:r>
              <w:t>PMO</w:t>
            </w:r>
          </w:p>
        </w:tc>
      </w:tr>
      <w:tr>
        <w:tc>
          <w:tcPr>
            <w:tcW w:type="dxa" w:w="2160"/>
          </w:tcPr>
          <w:p>
            <w:r>
              <w:t>Personalverfuegbarkeit Engineering</w:t>
            </w:r>
          </w:p>
        </w:tc>
        <w:tc>
          <w:tcPr>
            <w:tcW w:type="dxa" w:w="2160"/>
          </w:tcPr>
          <w:p>
            <w:r>
              <w:t>Mittel</w:t>
            </w:r>
          </w:p>
        </w:tc>
        <w:tc>
          <w:tcPr>
            <w:tcW w:type="dxa" w:w="2160"/>
          </w:tcPr>
          <w:p>
            <w:r>
              <w:t>Capacity-Planning RSG</w:t>
            </w:r>
          </w:p>
        </w:tc>
        <w:tc>
          <w:tcPr>
            <w:tcW w:type="dxa" w:w="2160"/>
          </w:tcPr>
          <w:p>
            <w:r>
              <w:t>RSG Werkleitung</w:t>
            </w:r>
          </w:p>
        </w:tc>
      </w:tr>
    </w:tbl>
    <w:p>
      <w:pPr>
        <w:pStyle w:val="Heading3"/>
      </w:pPr>
      <w:r>
        <w:t>6. Budget-/Termin-Forecast</w:t>
      </w:r>
    </w:p>
    <w:p>
      <w:r>
        <w:t>Der Budget-Forecast (EAC) liegt aktuell innerhalb der vom Vorstand genehmigten Toleranz von 5 %. Die Termin-Verzuege aus den vorausgegangenen Phasen wurden teilweise durch parallelisierte Validierung kompensiert. Der naechste Termin-Update erfolgt im Rahmen der monatlichen Lenkungsausschuss-Sitzung.</w:t>
      </w:r>
    </w:p>
    <w:p>
      <w:pPr>
        <w:pStyle w:val="Heading3"/>
      </w:pPr>
      <w:r>
        <w:t>7. Themen / Plan fuer Folgemonat</w:t>
      </w:r>
    </w:p>
    <w:p>
      <w:pPr>
        <w:pStyle w:val="ListBullet"/>
      </w:pPr>
      <w:r>
        <w:t>Abschluss Detaildesign-Phase</w:t>
      </w:r>
    </w:p>
    <w:p>
      <w:pPr>
        <w:pStyle w:val="ListBullet"/>
      </w:pPr>
      <w:r>
        <w:t>Vorbereitung Gate-Review</w:t>
      </w:r>
    </w:p>
    <w:p>
      <w:pPr>
        <w:pStyle w:val="ListBullet"/>
      </w:pPr>
      <w:r>
        <w:t>Risiko-Workshop mit Lieferanten</w:t>
      </w:r>
    </w:p>
    <w:p>
      <w:pPr>
        <w:pStyle w:val="ListBullet"/>
      </w:pPr>
      <w:r>
        <w:t>OEM-Statusupdate naechster Monat</w:t>
      </w:r>
    </w:p>
    <w:p>
      <w:pPr>
        <w:pStyle w:val="Heading3"/>
      </w:pPr>
      <w:r>
        <w:t>8. Unterschrift / Freigabe</w:t>
      </w:r>
    </w:p>
    <w:p>
      <w:r>
        <w:t>Ort, Datum: Stuttgart, den 05. Januar 2024</w:t>
      </w:r>
    </w:p>
    <w:p>
      <w:r>
        <w:t>_________________________            _________________________</w:t>
        <w:br/>
        <w:t>Petr Novak (Werkleiter RCZ)                          Dr. Thomas Weber</w:t>
        <w:br/>
        <w:t>Projektleitung                          Projekt-Sponsor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