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2024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Januar 2024 planmaessig in der laufenden Phase. Termin- und Budget-konform; keine kritischen Risiken offen.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Februar 2024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