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2024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Maerz 2024 planmaessig in der laufenden Phase. Budget-Forecast +3 % – Steuerungsmassnahmen eingeleitet.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April 2024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