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Juli 2023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Juli 2023 planmaessig in der laufenden Phase. Termin- und Budget-konform; keine kritischen Risiken offen.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August 2023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