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Projekt-Charter PRJ-2024-001 – ECU-1000 Concept Study</w:t>
      </w:r>
    </w:p>
    <w:p>
      <w:pPr>
        <w:jc w:val="center"/>
      </w:pPr>
      <w:r>
        <w:t>Projekt-Charter / Project Initiation Document (Version 1.0)</w:t>
      </w:r>
    </w:p>
    <w:p/>
    <w:p>
      <w:pPr>
        <w:pStyle w:val="Heading3"/>
      </w:pPr>
      <w:r>
        <w:t>1. Projektidentifikation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Projekt-ID</w:t>
            </w:r>
          </w:p>
        </w:tc>
        <w:tc>
          <w:tcPr>
            <w:tcW w:type="dxa" w:w="4320"/>
          </w:tcPr>
          <w:p>
            <w:r>
              <w:t>PRJ-2024-001</w:t>
            </w:r>
          </w:p>
        </w:tc>
      </w:tr>
      <w:tr>
        <w:tc>
          <w:tcPr>
            <w:tcW w:type="dxa" w:w="4320"/>
          </w:tcPr>
          <w:p>
            <w:r>
              <w:t>Projekt-Titel</w:t>
            </w:r>
          </w:p>
        </w:tc>
        <w:tc>
          <w:tcPr>
            <w:tcW w:type="dxa" w:w="4320"/>
          </w:tcPr>
          <w:p>
            <w:r>
              <w:t>ECU-1000 Concept Study</w:t>
            </w:r>
          </w:p>
        </w:tc>
      </w:tr>
      <w:tr>
        <w:tc>
          <w:tcPr>
            <w:tcW w:type="dxa" w:w="4320"/>
          </w:tcPr>
          <w:p>
            <w:r>
              <w:t>Produkt-/Programm-Bezug</w:t>
            </w:r>
          </w:p>
        </w:tc>
        <w:tc>
          <w:tcPr>
            <w:tcW w:type="dxa" w:w="4320"/>
          </w:tcPr>
          <w:p>
            <w:r>
              <w:t>ECU-1000 (Nachfolger ECU-900)</w:t>
            </w:r>
          </w:p>
        </w:tc>
      </w:tr>
      <w:tr>
        <w:tc>
          <w:tcPr>
            <w:tcW w:type="dxa" w:w="4320"/>
          </w:tcPr>
          <w:p>
            <w:r>
              <w:t>Hauptkunde / OEM</w:t>
            </w:r>
          </w:p>
        </w:tc>
        <w:tc>
          <w:tcPr>
            <w:tcW w:type="dxa" w:w="4320"/>
          </w:tcPr>
          <w:p>
            <w:r>
              <w:t>VW, Stellantis (Konzeptphase)</w:t>
            </w:r>
          </w:p>
        </w:tc>
      </w:tr>
      <w:tr>
        <w:tc>
          <w:tcPr>
            <w:tcW w:type="dxa" w:w="4320"/>
          </w:tcPr>
          <w:p>
            <w:r>
              <w:t>Projektleitung</w:t>
            </w:r>
          </w:p>
        </w:tc>
        <w:tc>
          <w:tcPr>
            <w:tcW w:type="dxa" w:w="4320"/>
          </w:tcPr>
          <w:p>
            <w:r>
              <w:t>Marco Frey (RSG)</w:t>
            </w:r>
          </w:p>
        </w:tc>
      </w:tr>
      <w:tr>
        <w:tc>
          <w:tcPr>
            <w:tcW w:type="dxa" w:w="4320"/>
          </w:tcPr>
          <w:p>
            <w:r>
              <w:t>Projekt-Sponsor (Lenkungsausschuss-Vorsitz)</w:t>
            </w:r>
          </w:p>
        </w:tc>
        <w:tc>
          <w:tcPr>
            <w:tcW w:type="dxa" w:w="4320"/>
          </w:tcPr>
          <w:p>
            <w:r>
              <w:t>Dr. Petra Hollmann (CTO)</w:t>
            </w:r>
          </w:p>
        </w:tc>
      </w:tr>
      <w:tr>
        <w:tc>
          <w:tcPr>
            <w:tcW w:type="dxa" w:w="4320"/>
          </w:tcPr>
          <w:p>
            <w:r>
              <w:t>Genehmigtes Budget (CAPEX + OPEX)</w:t>
            </w:r>
          </w:p>
        </w:tc>
        <w:tc>
          <w:tcPr>
            <w:tcW w:type="dxa" w:w="4320"/>
          </w:tcPr>
          <w:p>
            <w:r>
              <w:t>3.2 Mio. EUR</w:t>
            </w:r>
          </w:p>
        </w:tc>
      </w:tr>
      <w:tr>
        <w:tc>
          <w:tcPr>
            <w:tcW w:type="dxa" w:w="4320"/>
          </w:tcPr>
          <w:p>
            <w:r>
              <w:t>Projektstart</w:t>
            </w:r>
          </w:p>
        </w:tc>
        <w:tc>
          <w:tcPr>
            <w:tcW w:type="dxa" w:w="4320"/>
          </w:tcPr>
          <w:p>
            <w:r>
              <w:t>Q1 2024</w:t>
            </w:r>
          </w:p>
        </w:tc>
      </w:tr>
      <w:tr>
        <w:tc>
          <w:tcPr>
            <w:tcW w:type="dxa" w:w="4320"/>
          </w:tcPr>
          <w:p>
            <w:r>
              <w:t>Geplantes Projektende</w:t>
            </w:r>
          </w:p>
        </w:tc>
        <w:tc>
          <w:tcPr>
            <w:tcW w:type="dxa" w:w="4320"/>
          </w:tcPr>
          <w:p>
            <w:r>
              <w:t>Q4 2024</w:t>
            </w:r>
          </w:p>
        </w:tc>
      </w:tr>
    </w:tbl>
    <w:p>
      <w:pPr>
        <w:pStyle w:val="Heading3"/>
      </w:pPr>
      <w:r>
        <w:t>2. Hintergrund und strategische Einordnung</w:t>
      </w:r>
    </w:p>
    <w:p>
      <w:r>
        <w:t>Das Projekt PRJ-2024-001 »ECU-1000 Concept Study« ist Bestandteil der Konzern-Roadmap 2023–2027 der Brennhagen Elektronik AG und unterstuetzt die strategischen Stossrichtungen »Electrification«, »Software-Defined Vehicle« und »Operational Excellence«. Das Vorhaben wurde im Strategischen Investitionsplan des Vorstands (Vorlage TOP 4 der Vorstandssitzung) als »kritisch fuer die Wettbewerbsfaehigkeit« eingestuft und vom Aufsichtsrats-Pruefungsausschuss zur Kenntnis genommen.</w:t>
      </w:r>
    </w:p>
    <w:p>
      <w:r>
        <w:t>Hauptkunde bzw. interner Auftraggeber ist VW, Stellantis (Konzeptphase). Der Business-Case baut auf einer Stueckzahlplanung und einem Zielkostenpfad auf, der mit der Group-Controlling-Funktion (Florian Maier) abgestimmt wurde.</w:t>
      </w:r>
    </w:p>
    <w:p>
      <w:pPr>
        <w:pStyle w:val="Heading3"/>
      </w:pPr>
      <w:r>
        <w:t>3. Projektziele (SMART)</w:t>
      </w:r>
    </w:p>
    <w:p>
      <w:r>
        <w:t>Konzeptphase fuer die naechste ECU-Generation (ECU-1000) mit 64-bit Multi-Core-SoC, Adaptive-AUTOSAR-zentriertem Stack, OTA-First-Architektur und Zone-Controller-Faehigkeit fuer SDV. Liefer-Ergebnis: Konzept-Spec, Roadmap, Business-Case fuer Gate-G1.</w:t>
      </w:r>
    </w:p>
    <w:p>
      <w:pPr>
        <w:pStyle w:val="Heading3"/>
      </w:pPr>
      <w:r>
        <w:t>4. Scope und Liefergegenstaende (in-Scope)</w:t>
      </w:r>
    </w:p>
    <w:p>
      <w:pPr>
        <w:pStyle w:val="ListBullet"/>
      </w:pPr>
      <w:r>
        <w:t>Markt-/Technologie-Scouting</w:t>
      </w:r>
    </w:p>
    <w:p>
      <w:pPr>
        <w:pStyle w:val="ListBullet"/>
      </w:pPr>
      <w:r>
        <w:t>Architektur-Vorentwurf</w:t>
      </w:r>
    </w:p>
    <w:p>
      <w:pPr>
        <w:pStyle w:val="ListBullet"/>
      </w:pPr>
      <w:r>
        <w:t>Halbleiter-Marktanalyse (NXP S32G3, Renesas RH850/X4)</w:t>
      </w:r>
    </w:p>
    <w:p>
      <w:pPr>
        <w:pStyle w:val="ListBullet"/>
      </w:pPr>
      <w:r>
        <w:t>Business-Case Tool (3 OEM-Szenarien)</w:t>
      </w:r>
    </w:p>
    <w:p>
      <w:pPr>
        <w:pStyle w:val="ListBullet"/>
      </w:pPr>
      <w:r>
        <w:t>Patent-Recherche Adaptive Platform</w:t>
      </w:r>
    </w:p>
    <w:p>
      <w:pPr>
        <w:pStyle w:val="Heading3"/>
      </w:pPr>
      <w:r>
        <w:t>5. Out-of-Scope-Abgrenzung</w:t>
      </w:r>
    </w:p>
    <w:p>
      <w:r>
        <w:t>Nicht Bestandteil dieses Projektes sind: a) Anpassungen an angrenzenden Plattform-Komponenten ausserhalb der definierten Schnittstellen; b) Serien-begleitende A-Musterabnahmen Folgegenerationen; c) Vermarktung und Pre-Sales-Aktivitaeten; d) Lokalisierungen ueber die im Lastenheft fixierten Maerkte hinaus. Diese Themen werden ggf. in Folgeprojekten oder im Linienbetrieb adressiert.</w:t>
      </w:r>
    </w:p>
    <w:p>
      <w:pPr>
        <w:pStyle w:val="Heading3"/>
      </w:pPr>
      <w:r>
        <w:t>6. Stakeholder-Matrix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Stakeholder</w:t>
            </w:r>
          </w:p>
        </w:tc>
        <w:tc>
          <w:tcPr>
            <w:tcW w:type="dxa" w:w="2880"/>
          </w:tcPr>
          <w:p>
            <w:r>
              <w:t>Rolle</w:t>
            </w:r>
          </w:p>
        </w:tc>
        <w:tc>
          <w:tcPr>
            <w:tcW w:type="dxa" w:w="2880"/>
          </w:tcPr>
          <w:p>
            <w:r>
              <w:t>Einflussgrad</w:t>
            </w:r>
          </w:p>
        </w:tc>
      </w:tr>
      <w:tr>
        <w:tc>
          <w:tcPr>
            <w:tcW w:type="dxa" w:w="2880"/>
          </w:tcPr>
          <w:p>
            <w:r>
              <w:t>Vorstand REA</w:t>
            </w:r>
          </w:p>
        </w:tc>
        <w:tc>
          <w:tcPr>
            <w:tcW w:type="dxa" w:w="2880"/>
          </w:tcPr>
          <w:p>
            <w:r>
              <w:t>Auftraggeber / Eskalation</w:t>
            </w:r>
          </w:p>
        </w:tc>
        <w:tc>
          <w:tcPr>
            <w:tcW w:type="dxa" w:w="2880"/>
          </w:tcPr>
          <w:p>
            <w:r>
              <w:t>Hoch</w:t>
            </w:r>
          </w:p>
        </w:tc>
      </w:tr>
      <w:tr>
        <w:tc>
          <w:tcPr>
            <w:tcW w:type="dxa" w:w="2880"/>
          </w:tcPr>
          <w:p>
            <w:r>
              <w:t>Lenkungsausschuss</w:t>
            </w:r>
          </w:p>
        </w:tc>
        <w:tc>
          <w:tcPr>
            <w:tcW w:type="dxa" w:w="2880"/>
          </w:tcPr>
          <w:p>
            <w:r>
              <w:t>Quartalsentscheidungen</w:t>
            </w:r>
          </w:p>
        </w:tc>
        <w:tc>
          <w:tcPr>
            <w:tcW w:type="dxa" w:w="2880"/>
          </w:tcPr>
          <w:p>
            <w:r>
              <w:t>Hoch</w:t>
            </w:r>
          </w:p>
        </w:tc>
      </w:tr>
      <w:tr>
        <w:tc>
          <w:tcPr>
            <w:tcW w:type="dxa" w:w="2880"/>
          </w:tcPr>
          <w:p>
            <w:r>
              <w:t>VW, Stellantis (Konzeptphase)</w:t>
            </w:r>
          </w:p>
        </w:tc>
        <w:tc>
          <w:tcPr>
            <w:tcW w:type="dxa" w:w="2880"/>
          </w:tcPr>
          <w:p>
            <w:r>
              <w:t>Externer Kunde / Spezifikation</w:t>
            </w:r>
          </w:p>
        </w:tc>
        <w:tc>
          <w:tcPr>
            <w:tcW w:type="dxa" w:w="2880"/>
          </w:tcPr>
          <w:p>
            <w:r>
              <w:t>Hoch</w:t>
            </w:r>
          </w:p>
        </w:tc>
      </w:tr>
      <w:tr>
        <w:tc>
          <w:tcPr>
            <w:tcW w:type="dxa" w:w="2880"/>
          </w:tcPr>
          <w:p>
            <w:r>
              <w:t>Konzern-Controlling</w:t>
            </w:r>
          </w:p>
        </w:tc>
        <w:tc>
          <w:tcPr>
            <w:tcW w:type="dxa" w:w="2880"/>
          </w:tcPr>
          <w:p>
            <w:r>
              <w:t>Budget-Tracking</w:t>
            </w:r>
          </w:p>
        </w:tc>
        <w:tc>
          <w:tcPr>
            <w:tcW w:type="dxa" w:w="2880"/>
          </w:tcPr>
          <w:p>
            <w:r>
              <w:t>Mittel</w:t>
            </w:r>
          </w:p>
        </w:tc>
      </w:tr>
      <w:tr>
        <w:tc>
          <w:tcPr>
            <w:tcW w:type="dxa" w:w="2880"/>
          </w:tcPr>
          <w:p>
            <w:r>
              <w:t>Group Quality / VDA 6.3</w:t>
            </w:r>
          </w:p>
        </w:tc>
        <w:tc>
          <w:tcPr>
            <w:tcW w:type="dxa" w:w="2880"/>
          </w:tcPr>
          <w:p>
            <w:r>
              <w:t>Q-Freigaben</w:t>
            </w:r>
          </w:p>
        </w:tc>
        <w:tc>
          <w:tcPr>
            <w:tcW w:type="dxa" w:w="2880"/>
          </w:tcPr>
          <w:p>
            <w:r>
              <w:t>Mittel</w:t>
            </w:r>
          </w:p>
        </w:tc>
      </w:tr>
      <w:tr>
        <w:tc>
          <w:tcPr>
            <w:tcW w:type="dxa" w:w="2880"/>
          </w:tcPr>
          <w:p>
            <w:r>
              <w:t>Konzernbetriebsrat</w:t>
            </w:r>
          </w:p>
        </w:tc>
        <w:tc>
          <w:tcPr>
            <w:tcW w:type="dxa" w:w="2880"/>
          </w:tcPr>
          <w:p>
            <w:r>
              <w:t>Personalmassnahmen</w:t>
            </w:r>
          </w:p>
        </w:tc>
        <w:tc>
          <w:tcPr>
            <w:tcW w:type="dxa" w:w="2880"/>
          </w:tcPr>
          <w:p>
            <w:r>
              <w:t>Mittel</w:t>
            </w:r>
          </w:p>
        </w:tc>
      </w:tr>
      <w:tr>
        <w:tc>
          <w:tcPr>
            <w:tcW w:type="dxa" w:w="2880"/>
          </w:tcPr>
          <w:p>
            <w:r>
              <w:t>Group IT / SAP</w:t>
            </w:r>
          </w:p>
        </w:tc>
        <w:tc>
          <w:tcPr>
            <w:tcW w:type="dxa" w:w="2880"/>
          </w:tcPr>
          <w:p>
            <w:r>
              <w:t>Systemintegration</w:t>
            </w:r>
          </w:p>
        </w:tc>
        <w:tc>
          <w:tcPr>
            <w:tcW w:type="dxa" w:w="2880"/>
          </w:tcPr>
          <w:p>
            <w:r>
              <w:t>Niedrig–Mittel</w:t>
            </w:r>
          </w:p>
        </w:tc>
      </w:tr>
    </w:tbl>
    <w:p>
      <w:pPr>
        <w:pStyle w:val="Heading3"/>
      </w:pPr>
      <w:r>
        <w:t>7. Top-Risiken bei Projektstart</w:t>
      </w:r>
    </w:p>
    <w:p>
      <w:pPr>
        <w:pStyle w:val="ListBullet"/>
      </w:pPr>
      <w:r>
        <w:t>OEM-Anforderungen noch ungeklaert</w:t>
      </w:r>
    </w:p>
    <w:p>
      <w:pPr>
        <w:pStyle w:val="ListBullet"/>
      </w:pPr>
      <w:r>
        <w:t>Halbleiter-Roadmap-Unsicherheit</w:t>
      </w:r>
    </w:p>
    <w:p>
      <w:pPr>
        <w:pStyle w:val="ListBullet"/>
      </w:pPr>
      <w:r>
        <w:t>Personalverfuegbarkeit Architekten</w:t>
      </w:r>
    </w:p>
    <w:p>
      <w:pPr>
        <w:pStyle w:val="ListBullet"/>
      </w:pPr>
      <w:r>
        <w:t>Wechselkurs-Risiko EUR/USD bzw. EUR/CNY &gt; 5 % im Projektzeitraum</w:t>
      </w:r>
    </w:p>
    <w:p>
      <w:pPr>
        <w:pStyle w:val="ListBullet"/>
      </w:pPr>
      <w:r>
        <w:t>Personal-/Schluesselrollen-Risiko (Senior Engineers)</w:t>
      </w:r>
    </w:p>
    <w:p>
      <w:pPr>
        <w:pStyle w:val="ListBullet"/>
      </w:pPr>
      <w:r>
        <w:t>Regulatorisches Risiko (Type Approval, Zertifizierungen)</w:t>
      </w:r>
    </w:p>
    <w:p>
      <w:pPr>
        <w:pStyle w:val="Heading3"/>
      </w:pPr>
      <w:r>
        <w:t>8. Meilensteinplan (Gates)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Gate</w:t>
            </w:r>
          </w:p>
        </w:tc>
        <w:tc>
          <w:tcPr>
            <w:tcW w:type="dxa" w:w="2880"/>
          </w:tcPr>
          <w:p>
            <w:r>
              <w:t>Inhalt</w:t>
            </w:r>
          </w:p>
        </w:tc>
        <w:tc>
          <w:tcPr>
            <w:tcW w:type="dxa" w:w="2880"/>
          </w:tcPr>
          <w:p>
            <w:r>
              <w:t>Termin (geplant)</w:t>
            </w:r>
          </w:p>
        </w:tc>
      </w:tr>
      <w:tr>
        <w:tc>
          <w:tcPr>
            <w:tcW w:type="dxa" w:w="2880"/>
          </w:tcPr>
          <w:p>
            <w:r>
              <w:t>G0</w:t>
            </w:r>
          </w:p>
        </w:tc>
        <w:tc>
          <w:tcPr>
            <w:tcW w:type="dxa" w:w="2880"/>
          </w:tcPr>
          <w:p>
            <w:r>
              <w:t>Projekt-Initiierung / Charter freigegeben</w:t>
            </w:r>
          </w:p>
        </w:tc>
        <w:tc>
          <w:tcPr>
            <w:tcW w:type="dxa" w:w="2880"/>
          </w:tcPr>
          <w:p>
            <w:r>
              <w:t>Q1 2024</w:t>
            </w:r>
          </w:p>
        </w:tc>
      </w:tr>
      <w:tr>
        <w:tc>
          <w:tcPr>
            <w:tcW w:type="dxa" w:w="2880"/>
          </w:tcPr>
          <w:p>
            <w:r>
              <w:t>G1</w:t>
            </w:r>
          </w:p>
        </w:tc>
        <w:tc>
          <w:tcPr>
            <w:tcW w:type="dxa" w:w="2880"/>
          </w:tcPr>
          <w:p>
            <w:r>
              <w:t>Konzept-Freigabe (Konzept-Spec, Business-Case v2)</w:t>
            </w:r>
          </w:p>
        </w:tc>
        <w:tc>
          <w:tcPr>
            <w:tcW w:type="dxa" w:w="2880"/>
          </w:tcPr>
          <w:p>
            <w:r>
              <w:t>+3 Monate</w:t>
            </w:r>
          </w:p>
        </w:tc>
      </w:tr>
      <w:tr>
        <w:tc>
          <w:tcPr>
            <w:tcW w:type="dxa" w:w="2880"/>
          </w:tcPr>
          <w:p>
            <w:r>
              <w:t>G2</w:t>
            </w:r>
          </w:p>
        </w:tc>
        <w:tc>
          <w:tcPr>
            <w:tcW w:type="dxa" w:w="2880"/>
          </w:tcPr>
          <w:p>
            <w:r>
              <w:t>Systemdesign-Freigabe (Architektur, Pflichtenheft)</w:t>
            </w:r>
          </w:p>
        </w:tc>
        <w:tc>
          <w:tcPr>
            <w:tcW w:type="dxa" w:w="2880"/>
          </w:tcPr>
          <w:p>
            <w:r>
              <w:t>+9 Monate</w:t>
            </w:r>
          </w:p>
        </w:tc>
      </w:tr>
      <w:tr>
        <w:tc>
          <w:tcPr>
            <w:tcW w:type="dxa" w:w="2880"/>
          </w:tcPr>
          <w:p>
            <w:r>
              <w:t>G3</w:t>
            </w:r>
          </w:p>
        </w:tc>
        <w:tc>
          <w:tcPr>
            <w:tcW w:type="dxa" w:w="2880"/>
          </w:tcPr>
          <w:p>
            <w:r>
              <w:t>Detailentwicklung abgeschlossen (Codefreeze, B-Muster)</w:t>
            </w:r>
          </w:p>
        </w:tc>
        <w:tc>
          <w:tcPr>
            <w:tcW w:type="dxa" w:w="2880"/>
          </w:tcPr>
          <w:p>
            <w:r>
              <w:t>Mitte Laufzeit</w:t>
            </w:r>
          </w:p>
        </w:tc>
      </w:tr>
      <w:tr>
        <w:tc>
          <w:tcPr>
            <w:tcW w:type="dxa" w:w="2880"/>
          </w:tcPr>
          <w:p>
            <w:r>
              <w:t>G4</w:t>
            </w:r>
          </w:p>
        </w:tc>
        <w:tc>
          <w:tcPr>
            <w:tcW w:type="dxa" w:w="2880"/>
          </w:tcPr>
          <w:p>
            <w:r>
              <w:t>Validierung abgeschlossen (PPAP/PV bestanden)</w:t>
            </w:r>
          </w:p>
        </w:tc>
        <w:tc>
          <w:tcPr>
            <w:tcW w:type="dxa" w:w="2880"/>
          </w:tcPr>
          <w:p>
            <w:r>
              <w:t>Ende - 3 Monate</w:t>
            </w:r>
          </w:p>
        </w:tc>
      </w:tr>
      <w:tr>
        <w:tc>
          <w:tcPr>
            <w:tcW w:type="dxa" w:w="2880"/>
          </w:tcPr>
          <w:p>
            <w:r>
              <w:t>G5</w:t>
            </w:r>
          </w:p>
        </w:tc>
        <w:tc>
          <w:tcPr>
            <w:tcW w:type="dxa" w:w="2880"/>
          </w:tcPr>
          <w:p>
            <w:r>
              <w:t>Serienanlauf / SOP</w:t>
            </w:r>
          </w:p>
        </w:tc>
        <w:tc>
          <w:tcPr>
            <w:tcW w:type="dxa" w:w="2880"/>
          </w:tcPr>
          <w:p>
            <w:r>
              <w:t>Projektende</w:t>
            </w:r>
          </w:p>
        </w:tc>
      </w:tr>
      <w:tr>
        <w:tc>
          <w:tcPr>
            <w:tcW w:type="dxa" w:w="2880"/>
          </w:tcPr>
          <w:p>
            <w:r>
              <w:t>G6</w:t>
            </w:r>
          </w:p>
        </w:tc>
        <w:tc>
          <w:tcPr>
            <w:tcW w:type="dxa" w:w="2880"/>
          </w:tcPr>
          <w:p>
            <w:r>
              <w:t>Hochlauf-Review (Lessons-Learned 1)</w:t>
            </w:r>
          </w:p>
        </w:tc>
        <w:tc>
          <w:tcPr>
            <w:tcW w:type="dxa" w:w="2880"/>
          </w:tcPr>
          <w:p>
            <w:r>
              <w:t>+6 Monate nach SOP</w:t>
            </w:r>
          </w:p>
        </w:tc>
      </w:tr>
      <w:tr>
        <w:tc>
          <w:tcPr>
            <w:tcW w:type="dxa" w:w="2880"/>
          </w:tcPr>
          <w:p>
            <w:r>
              <w:t>G7</w:t>
            </w:r>
          </w:p>
        </w:tc>
        <w:tc>
          <w:tcPr>
            <w:tcW w:type="dxa" w:w="2880"/>
          </w:tcPr>
          <w:p>
            <w:r>
              <w:t>Lifecycle-Uebergabe an Linie</w:t>
            </w:r>
          </w:p>
        </w:tc>
        <w:tc>
          <w:tcPr>
            <w:tcW w:type="dxa" w:w="2880"/>
          </w:tcPr>
          <w:p>
            <w:r>
              <w:t>+12 Monate nach SOP</w:t>
            </w:r>
          </w:p>
        </w:tc>
      </w:tr>
    </w:tbl>
    <w:p>
      <w:pPr>
        <w:pStyle w:val="Heading3"/>
      </w:pPr>
      <w:r>
        <w:t>9. Budget-Struktur</w:t>
      </w:r>
    </w:p>
    <w:p>
      <w:r>
        <w:t>Das Projektbudget von 3.2 Mio. EUR teilt sich auf in rund 60 % Personalkosten (interne FTE und externe Beratungs-/Engineering-Dienstleister), 25 % Hardware-/Pruefstand-/Werkzeug-Investitionen (CAPEX, aktivierungspflichtig nach IAS 38), 10 % Software-Lizenzen (Vector, dSpace, MathWorks, Synopsys) und 5 % Reise- und Schulungskosten. Aktivierungspflicht wird durch Group Controlling im Quartalsrhythmus geprueft. Reporting an Lenkungsausschuss monatlich, an Vorstand quartalsweise.</w:t>
      </w:r>
    </w:p>
    <w:p>
      <w:pPr>
        <w:pStyle w:val="Heading3"/>
      </w:pPr>
      <w:r>
        <w:t>10. Freigaben und Unterschriften</w:t>
      </w:r>
    </w:p>
    <w:p>
      <w:r>
        <w:t>Ort, Datum: Stuttgart, den —</w:t>
      </w:r>
    </w:p>
    <w:p>
      <w:r>
        <w:t>_________________________            _________________________</w:t>
        <w:br/>
        <w:t>Dr. Petra Hollmann                          Projektleitung</w:t>
        <w:br/>
        <w:t>Projekt-Sponsor                          PL ECU-1000 Concept Study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