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Juli 2024 planmaessig in der laufenden Phase. Budget-Forecast +3 % – Steuerungsmassnahmen eingeleitet.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2024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