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2024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Dezember 2024 planmaessig in der laufenden Phase. Budget-Forecast +3 % – Steuerungsmassnahmen eingeleitet.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Januar 2025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