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Januar 2025 planmaessig in der laufenden Phase. Budget-Forecast +3 % – Steuerungsmassnahmen eingeleitet.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