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April 2025 planmaessig in der laufenden Phase. Termin- und Budget-konform; keine kritischen Risiken offen.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