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Juni 2025 planmaessig in der laufenden Phase. Budget-Forecast +3 % – Steuerungsmassnahmen eingeleitet.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