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September 2025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September 2025 planmaessig in der laufenden Phase. Termin- und Budget-konform; keine kritischen Risiken offen.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Oktober 2025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