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November 2025 planmaessig in der laufenden Phase. Budget-Forecast +3 % – Steuerungsmassnahmen eingeleitet.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