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Mai 2024 planmaessig in der laufenden Phase. Termin- und Budget-konform; keine kritischen Risiken offen.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Juni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