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Projekt-Charter PRJ-2024-002 – DSGVO Compliance Remediation</w:t>
      </w:r>
    </w:p>
    <w:p>
      <w:pPr>
        <w:jc w:val="center"/>
      </w:pPr>
      <w:r>
        <w:t>Projekt-Charter / Project Initiation Document (Version 1.0)</w:t>
      </w:r>
    </w:p>
    <w:p/>
    <w:p>
      <w:pPr>
        <w:pStyle w:val="Heading3"/>
      </w:pPr>
      <w:r>
        <w:t>1. Projektidentifikation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DSGVO Compliance Remediation</w:t>
            </w:r>
          </w:p>
        </w:tc>
      </w:tr>
      <w:tr>
        <w:tc>
          <w:tcPr>
            <w:tcW w:type="dxa" w:w="4320"/>
          </w:tcPr>
          <w:p>
            <w:r>
              <w:t>Produkt-/Programm-Bezug</w:t>
            </w:r>
          </w:p>
        </w:tc>
        <w:tc>
          <w:tcPr>
            <w:tcW w:type="dxa" w:w="4320"/>
          </w:tcPr>
          <w:p>
            <w:r>
              <w:t>DSGVO/IT-Compliance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(Konzernweit)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Anna Brand (Konzern-DSB)</w:t>
            </w:r>
          </w:p>
        </w:tc>
      </w:tr>
      <w:tr>
        <w:tc>
          <w:tcPr>
            <w:tcW w:type="dxa" w:w="4320"/>
          </w:tcPr>
          <w:p>
            <w:r>
              <w:t>Projekt-Sponsor (Lenkungsausschuss-Vorsitz)</w:t>
            </w:r>
          </w:p>
        </w:tc>
        <w:tc>
          <w:tcPr>
            <w:tcW w:type="dxa" w:w="4320"/>
          </w:tcPr>
          <w:p>
            <w:r>
              <w:t>Anna Mueller (CEO)</w:t>
            </w:r>
          </w:p>
        </w:tc>
      </w:tr>
      <w:tr>
        <w:tc>
          <w:tcPr>
            <w:tcW w:type="dxa" w:w="4320"/>
          </w:tcPr>
          <w:p>
            <w:r>
              <w:t>Genehmigtes Budget (CAPEX + OPEX)</w:t>
            </w:r>
          </w:p>
        </w:tc>
        <w:tc>
          <w:tcPr>
            <w:tcW w:type="dxa" w:w="4320"/>
          </w:tcPr>
          <w:p>
            <w:r>
              <w:t>1.8 Mio. EUR</w:t>
            </w:r>
          </w:p>
        </w:tc>
      </w:tr>
      <w:tr>
        <w:tc>
          <w:tcPr>
            <w:tcW w:type="dxa" w:w="4320"/>
          </w:tcPr>
          <w:p>
            <w:r>
              <w:t>Projektstart</w:t>
            </w:r>
          </w:p>
        </w:tc>
        <w:tc>
          <w:tcPr>
            <w:tcW w:type="dxa" w:w="4320"/>
          </w:tcPr>
          <w:p>
            <w:r>
              <w:t>Q2 2024</w:t>
            </w:r>
          </w:p>
        </w:tc>
      </w:tr>
      <w:tr>
        <w:tc>
          <w:tcPr>
            <w:tcW w:type="dxa" w:w="4320"/>
          </w:tcPr>
          <w:p>
            <w:r>
              <w:t>Geplantes Projektende</w:t>
            </w:r>
          </w:p>
        </w:tc>
        <w:tc>
          <w:tcPr>
            <w:tcW w:type="dxa" w:w="4320"/>
          </w:tcPr>
          <w:p>
            <w:r>
              <w:t>Q1 2025</w:t>
            </w:r>
          </w:p>
        </w:tc>
      </w:tr>
    </w:tbl>
    <w:p>
      <w:pPr>
        <w:pStyle w:val="Heading3"/>
      </w:pPr>
      <w:r>
        <w:t>2. Hintergrund und strategische Einordnung</w:t>
      </w:r>
    </w:p>
    <w:p>
      <w:r>
        <w:t>Das Projekt PRJ-2024-002 »DSGVO Compliance Remediation« ist Bestandteil der Konzern-Roadmap 2023–2027 der Brennhagen Elektronik AG und unterstuetzt die strategischen Stossrichtungen »Electrification«, »Software-Defined Vehicle« und »Operational Excellence«. Das Vorhaben wurde im Strategischen Investitionsplan des Vorstands (Vorlage TOP 4 der Vorstandssitzung) als »kritisch fuer die Wettbewerbsfaehigkeit« eingestuft und vom Aufsichtsrats-Pruefungsausschuss zur Kenntnis genommen.</w:t>
      </w:r>
    </w:p>
    <w:p>
      <w:r>
        <w:t>Hauptkunde bzw. interner Auftraggeber ist intern (Konzernweit). Der Business-Case baut auf einer Stueckzahlplanung und einem Zielkostenpfad auf, der mit der Group-Controlling-Funktion (Florian Maier) abgestimmt wurde.</w:t>
      </w:r>
    </w:p>
    <w:p>
      <w:pPr>
        <w:pStyle w:val="Heading3"/>
      </w:pPr>
      <w:r>
        <w:t>3. Projektziele (SMART)</w:t>
      </w:r>
    </w:p>
    <w:p>
      <w:r>
        <w:t>Umsetzung der Empfehlungen aus dem KPMG-Audit 2023 zur DSGVO-Konformitaet: Aktualisierung VVT, ROPA-Tool-Einfuehrung, AVV-Standardvertraege, Loeschkonzepte HR-System, DSFA Marketing-CRM, Schulungs-Rollout 4.180 MA.</w:t>
      </w:r>
    </w:p>
    <w:p>
      <w:pPr>
        <w:pStyle w:val="Heading3"/>
      </w:pPr>
      <w:r>
        <w:t>4. Scope und Liefergegenstaende (in-Scope)</w:t>
      </w:r>
    </w:p>
    <w:p>
      <w:pPr>
        <w:pStyle w:val="ListBullet"/>
      </w:pPr>
      <w:r>
        <w:t>VVT-Tool OneTrust Einfuehrung</w:t>
      </w:r>
    </w:p>
    <w:p>
      <w:pPr>
        <w:pStyle w:val="ListBullet"/>
      </w:pPr>
      <w:r>
        <w:t>AVV-Workflow Onboarding</w:t>
      </w:r>
    </w:p>
    <w:p>
      <w:pPr>
        <w:pStyle w:val="ListBullet"/>
      </w:pPr>
      <w:r>
        <w:t>Loeschkonzept SAP HR</w:t>
      </w:r>
    </w:p>
    <w:p>
      <w:pPr>
        <w:pStyle w:val="ListBullet"/>
      </w:pPr>
      <w:r>
        <w:t>DSFA HubSpot/Salesforce</w:t>
      </w:r>
    </w:p>
    <w:p>
      <w:pPr>
        <w:pStyle w:val="ListBullet"/>
      </w:pPr>
      <w:r>
        <w:t>E-Learning DSGVO 2024</w:t>
      </w:r>
    </w:p>
    <w:p>
      <w:pPr>
        <w:pStyle w:val="Heading3"/>
      </w:pPr>
      <w:r>
        <w:t>5. Out-of-Scope-Abgrenzung</w:t>
      </w:r>
    </w:p>
    <w:p>
      <w:r>
        <w:t>Nicht Bestandteil dieses Projektes sind: a) Anpassungen an angrenzenden Plattform-Komponenten ausserhalb der definierten Schnittstellen; b) Serien-begleitende A-Musterabnahmen Folgegenerationen; c) Vermarktung und Pre-Sales-Aktivitaeten; d) Lokalisierungen ueber die im Lastenheft fixierten Maerkte hinaus. Diese Themen werden ggf. in Folgeprojekten oder im Linienbetrieb adressiert.</w:t>
      </w:r>
    </w:p>
    <w:p>
      <w:pPr>
        <w:pStyle w:val="Heading3"/>
      </w:pPr>
      <w:r>
        <w:t>6. Stakeholder-Matrix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Einflussgrad</w:t>
            </w:r>
          </w:p>
        </w:tc>
      </w:tr>
      <w:tr>
        <w:tc>
          <w:tcPr>
            <w:tcW w:type="dxa" w:w="2880"/>
          </w:tcPr>
          <w:p>
            <w:r>
              <w:t>Vorstand REA</w:t>
            </w:r>
          </w:p>
        </w:tc>
        <w:tc>
          <w:tcPr>
            <w:tcW w:type="dxa" w:w="2880"/>
          </w:tcPr>
          <w:p>
            <w:r>
              <w:t>Auftraggeber / Eskalation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Lenkungsausschuss</w:t>
            </w:r>
          </w:p>
        </w:tc>
        <w:tc>
          <w:tcPr>
            <w:tcW w:type="dxa" w:w="2880"/>
          </w:tcPr>
          <w:p>
            <w:r>
              <w:t>Quartalsentscheidungen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intern (Konzernweit)</w:t>
            </w:r>
          </w:p>
        </w:tc>
        <w:tc>
          <w:tcPr>
            <w:tcW w:type="dxa" w:w="2880"/>
          </w:tcPr>
          <w:p>
            <w:r>
              <w:t>Externer Kunde / Spezifikation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Konzern-Controlling</w:t>
            </w:r>
          </w:p>
        </w:tc>
        <w:tc>
          <w:tcPr>
            <w:tcW w:type="dxa" w:w="2880"/>
          </w:tcPr>
          <w:p>
            <w:r>
              <w:t>Budget-Tracking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Quality / VDA 6.3</w:t>
            </w:r>
          </w:p>
        </w:tc>
        <w:tc>
          <w:tcPr>
            <w:tcW w:type="dxa" w:w="2880"/>
          </w:tcPr>
          <w:p>
            <w:r>
              <w:t>Q-Freigaben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Konzernbetriebsrat</w:t>
            </w:r>
          </w:p>
        </w:tc>
        <w:tc>
          <w:tcPr>
            <w:tcW w:type="dxa" w:w="2880"/>
          </w:tcPr>
          <w:p>
            <w:r>
              <w:t>Personalmassnahmen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IT / SAP</w:t>
            </w:r>
          </w:p>
        </w:tc>
        <w:tc>
          <w:tcPr>
            <w:tcW w:type="dxa" w:w="2880"/>
          </w:tcPr>
          <w:p>
            <w:r>
              <w:t>Systemintegration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</w:tr>
    </w:tbl>
    <w:p>
      <w:pPr>
        <w:pStyle w:val="Heading3"/>
      </w:pPr>
      <w:r>
        <w:t>7. Top-Risiken bei Projektstart</w:t>
      </w:r>
    </w:p>
    <w:p>
      <w:pPr>
        <w:pStyle w:val="ListBullet"/>
      </w:pPr>
      <w:r>
        <w:t>Lizenz-Kosten OneTrust ueber Plan</w:t>
      </w:r>
    </w:p>
    <w:p>
      <w:pPr>
        <w:pStyle w:val="ListBullet"/>
      </w:pPr>
      <w:r>
        <w:t>Akzeptanz in Werken (CZ, HU, PL)</w:t>
      </w:r>
    </w:p>
    <w:p>
      <w:pPr>
        <w:pStyle w:val="ListBullet"/>
      </w:pPr>
      <w:r>
        <w:t>Datenuebermittlung China (PIPL/Schrems II)</w:t>
      </w:r>
    </w:p>
    <w:p>
      <w:pPr>
        <w:pStyle w:val="ListBullet"/>
      </w:pPr>
      <w:r>
        <w:t>Wechselkurs-Risiko EUR/USD bzw. EUR/CNY &gt; 5 % im Projektzeitraum</w:t>
      </w:r>
    </w:p>
    <w:p>
      <w:pPr>
        <w:pStyle w:val="ListBullet"/>
      </w:pPr>
      <w:r>
        <w:t>Personal-/Schluesselrollen-Risiko (Senior Engineers)</w:t>
      </w:r>
    </w:p>
    <w:p>
      <w:pPr>
        <w:pStyle w:val="ListBullet"/>
      </w:pPr>
      <w:r>
        <w:t>Regulatorisches Risiko (Type Approval, Zertifizierungen)</w:t>
      </w:r>
    </w:p>
    <w:p>
      <w:pPr>
        <w:pStyle w:val="Heading3"/>
      </w:pPr>
      <w:r>
        <w:t>8. Meilensteinplan (Gates)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Termin (geplant)</w:t>
            </w:r>
          </w:p>
        </w:tc>
      </w:tr>
      <w:tr>
        <w:tc>
          <w:tcPr>
            <w:tcW w:type="dxa" w:w="2880"/>
          </w:tcPr>
          <w:p>
            <w:r>
              <w:t>G0</w:t>
            </w:r>
          </w:p>
        </w:tc>
        <w:tc>
          <w:tcPr>
            <w:tcW w:type="dxa" w:w="2880"/>
          </w:tcPr>
          <w:p>
            <w:r>
              <w:t>Projekt-Initiierung / Charter freigegeben</w:t>
            </w:r>
          </w:p>
        </w:tc>
        <w:tc>
          <w:tcPr>
            <w:tcW w:type="dxa" w:w="2880"/>
          </w:tcPr>
          <w:p>
            <w:r>
              <w:t>Q2 2024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Konzept-Freigabe (Konzept-Spec, Business-Case v2)</w:t>
            </w:r>
          </w:p>
        </w:tc>
        <w:tc>
          <w:tcPr>
            <w:tcW w:type="dxa" w:w="2880"/>
          </w:tcPr>
          <w:p>
            <w:r>
              <w:t>+3 Monate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Systemdesign-Freigabe (Architektur, Pflichtenheft)</w:t>
            </w:r>
          </w:p>
        </w:tc>
        <w:tc>
          <w:tcPr>
            <w:tcW w:type="dxa" w:w="2880"/>
          </w:tcPr>
          <w:p>
            <w:r>
              <w:t>+9 Monate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Detailentwicklung abgeschlossen (Codefreeze, B-Muster)</w:t>
            </w:r>
          </w:p>
        </w:tc>
        <w:tc>
          <w:tcPr>
            <w:tcW w:type="dxa" w:w="2880"/>
          </w:tcPr>
          <w:p>
            <w:r>
              <w:t>Mitte Laufzeit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Validierung abgeschlossen (PPAP/PV bestanden)</w:t>
            </w:r>
          </w:p>
        </w:tc>
        <w:tc>
          <w:tcPr>
            <w:tcW w:type="dxa" w:w="2880"/>
          </w:tcPr>
          <w:p>
            <w:r>
              <w:t>Ende - 3 Monate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Serienanlauf / SOP</w:t>
            </w:r>
          </w:p>
        </w:tc>
        <w:tc>
          <w:tcPr>
            <w:tcW w:type="dxa" w:w="2880"/>
          </w:tcPr>
          <w:p>
            <w:r>
              <w:t>Projektende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Hochlauf-Review (Lessons-Learned 1)</w:t>
            </w:r>
          </w:p>
        </w:tc>
        <w:tc>
          <w:tcPr>
            <w:tcW w:type="dxa" w:w="2880"/>
          </w:tcPr>
          <w:p>
            <w:r>
              <w:t>+6 Monate nach SOP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t>Lifecycle-Uebergabe an Linie</w:t>
            </w:r>
          </w:p>
        </w:tc>
        <w:tc>
          <w:tcPr>
            <w:tcW w:type="dxa" w:w="2880"/>
          </w:tcPr>
          <w:p>
            <w:r>
              <w:t>+12 Monate nach SOP</w:t>
            </w:r>
          </w:p>
        </w:tc>
      </w:tr>
    </w:tbl>
    <w:p>
      <w:pPr>
        <w:pStyle w:val="Heading3"/>
      </w:pPr>
      <w:r>
        <w:t>9. Budget-Struktur</w:t>
      </w:r>
    </w:p>
    <w:p>
      <w:r>
        <w:t>Das Projektbudget von 1.8 Mio. EUR teilt sich auf in rund 60 % Personalkosten (interne FTE und externe Beratungs-/Engineering-Dienstleister), 25 % Hardware-/Pruefstand-/Werkzeug-Investitionen (CAPEX, aktivierungspflichtig nach IAS 38), 10 % Software-Lizenzen (Vector, dSpace, MathWorks, Synopsys) und 5 % Reise- und Schulungskosten. Aktivierungspflicht wird durch Group Controlling im Quartalsrhythmus geprueft. Reporting an Lenkungsausschuss monatlich, an Vorstand quartalsweise.</w:t>
      </w:r>
    </w:p>
    <w:p>
      <w:pPr>
        <w:pStyle w:val="Heading3"/>
      </w:pPr>
      <w:r>
        <w:t>10. Freigaben und Unterschriften</w:t>
      </w:r>
    </w:p>
    <w:p>
      <w:r>
        <w:t>Ort, Datum: Stuttgart, den —</w:t>
      </w:r>
    </w:p>
    <w:p>
      <w:r>
        <w:t>_________________________            _________________________</w:t>
        <w:br/>
        <w:t>Anna Mueller                          Projektleitung</w:t>
        <w:br/>
        <w:t>Projekt-Sponsor                          PL DSGVO Compliance Remediation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