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PRJ-2024-002 – DSGVO Compliance Remediation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DSGVO/IT-Compliance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(Konzernweit)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Dr. Anna Brand (Konzern-DSB)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Anna Mueller (CEO)</w:t>
            </w:r>
          </w:p>
        </w:tc>
      </w:tr>
    </w:tbl>
    <w:p>
      <w:pPr>
        <w:pStyle w:val="Heading3"/>
      </w:pPr>
      <w:r>
        <w:t>3. Zielsetzung</w:t>
      </w:r>
    </w:p>
    <w:p>
      <w:r>
        <w:t>Umsetzung der Empfehlungen aus dem KPMG-Audit 2023 zur DSGVO-Konformitaet: Aktualisierung VVT, ROPA-Tool-Einfuehrung, AVV-Standardvertraege, Loeschkonzepte HR-System, DSFA Marketing-CRM, Schulungs-Rollout 4.180 MA. Ziel-Termin SOP: Q1 2025.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VVT-Tool OneTrust Einfuehrung</w:t>
      </w:r>
    </w:p>
    <w:p>
      <w:pPr>
        <w:pStyle w:val="ListBullet"/>
      </w:pPr>
      <w:r>
        <w:t>AVV-Workflow Onboarding</w:t>
      </w:r>
    </w:p>
    <w:p>
      <w:pPr>
        <w:pStyle w:val="ListBullet"/>
      </w:pPr>
      <w:r>
        <w:t>Loeschkonzept SAP HR</w:t>
      </w:r>
    </w:p>
    <w:p>
      <w:pPr>
        <w:pStyle w:val="ListBullet"/>
      </w:pPr>
      <w:r>
        <w:t>DSFA HubSpot/Salesforce</w:t>
      </w:r>
    </w:p>
    <w:p>
      <w:pPr>
        <w:pStyle w:val="ListBullet"/>
      </w:pPr>
      <w:r>
        <w:t>E-Learning DSGVO 2024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Anna Mueller                          Dr. Anna Brand (Konzern-DSB)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