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PRJ-2024-002 – DSGVO Compliance Remediation</w:t>
      </w:r>
    </w:p>
    <w:p>
      <w:pPr>
        <w:jc w:val="center"/>
      </w:pPr>
      <w:r>
        <w:t>Post-Mortem-Workshop, Stand 2026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DSGVO Compliance Remediation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Anna Mueller (CEO)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1.8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1.9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2026</w:t>
      </w:r>
    </w:p>
    <w:p>
      <w:r>
        <w:t>_________________________            _________________________</w:t>
        <w:br/>
        <w:t>Anna Mueller                          Dr. Anna Brand (Konzern-DSB)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