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April 2024 – PRJ-2024-002</w:t>
      </w:r>
    </w:p>
    <w:p>
      <w:pPr>
        <w:jc w:val="center"/>
      </w:pPr>
      <w:r>
        <w:t>DSGVO Compliance Remediation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DSGVO Compliance Remediation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DSGVO/IT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Anna Brand (Konzern-DSB)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Anna Mueller (CEO)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PRJ-2024-002 (DSGVO Compliance Remediation) befindet sich im Berichtsmonat April 2024 planmaessig in der laufenden Phase. Termin- und Budget-konform; keine kritischen Risiken offen.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Mai 2024</w:t>
      </w:r>
    </w:p>
    <w:p>
      <w:r>
        <w:t>_________________________            _________________________</w:t>
        <w:br/>
        <w:t>Dr. Anna Brand (Konzern-DSB)                          Anna Mueller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