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2024 – PRJ-2024-002</w:t>
      </w:r>
    </w:p>
    <w:p>
      <w:pPr>
        <w:jc w:val="center"/>
      </w:pPr>
      <w:r>
        <w:t>DSGVO Compliance Remediation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PRJ-2024-002 (DSGVO Compliance Remediation) befindet sich im Berichtsmonat Juni 2024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