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Dezember 2024 planmaessig in der laufenden Phase. Stabil im Plan.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Januar 2025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