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2025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April 2025 planmaessig in der laufenden Phase. Budget-Forecast +3 % – Steuerungsmassnahmen eingeleitet.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Mai 2025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