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2025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Juni 2025 planmaessig in der laufenden Phase. Stabil im Plan.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Juli 2025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