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Statusbericht April 2024 – PRJ-2024-003</w:t>
      </w:r>
    </w:p>
    <w:p>
      <w:pPr>
        <w:jc w:val="center"/>
      </w:pPr>
      <w:r>
        <w:t>SAP S/4HANA Rollout Polen | Projekt-Statusbericht (monatlich)</w:t>
      </w:r>
    </w:p>
    <w:p/>
    <w:p>
      <w:pPr>
        <w:pStyle w:val="Heading3"/>
      </w:pPr>
      <w:r>
        <w:t>1. Projekt-Identifikation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PRJ-2024-003</w:t>
            </w:r>
          </w:p>
        </w:tc>
      </w:tr>
      <w:tr>
        <w:tc>
          <w:tcPr>
            <w:tcW w:type="dxa" w:w="4320"/>
          </w:tcPr>
          <w:p>
            <w:r>
              <w:t>Projekt-Titel</w:t>
            </w:r>
          </w:p>
        </w:tc>
        <w:tc>
          <w:tcPr>
            <w:tcW w:type="dxa" w:w="4320"/>
          </w:tcPr>
          <w:p>
            <w:r>
              <w:t>SAP S/4HANA Rollout Polen</w:t>
            </w:r>
          </w:p>
        </w:tc>
      </w:tr>
      <w:tr>
        <w:tc>
          <w:tcPr>
            <w:tcW w:type="dxa" w:w="4320"/>
          </w:tcPr>
          <w:p>
            <w:r>
              <w:t>Produktbezug</w:t>
            </w:r>
          </w:p>
        </w:tc>
        <w:tc>
          <w:tcPr>
            <w:tcW w:type="dxa" w:w="4320"/>
          </w:tcPr>
          <w:p>
            <w:r>
              <w:t>ERP/SAP</w:t>
            </w:r>
          </w:p>
        </w:tc>
      </w:tr>
      <w:tr>
        <w:tc>
          <w:tcPr>
            <w:tcW w:type="dxa" w:w="4320"/>
          </w:tcPr>
          <w:p>
            <w:r>
              <w:t>Hauptkunde / OEM</w:t>
            </w:r>
          </w:p>
        </w:tc>
        <w:tc>
          <w:tcPr>
            <w:tcW w:type="dxa" w:w="4320"/>
          </w:tcPr>
          <w:p>
            <w:r>
              <w:t>intern RPL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Marek Wojciechowski (RPL)</w:t>
            </w:r>
          </w:p>
        </w:tc>
      </w:tr>
      <w:tr>
        <w:tc>
          <w:tcPr>
            <w:tcW w:type="dxa" w:w="4320"/>
          </w:tcPr>
          <w:p>
            <w:r>
              <w:t>Projekt-Sponsor</w:t>
            </w:r>
          </w:p>
        </w:tc>
        <w:tc>
          <w:tcPr>
            <w:tcW w:type="dxa" w:w="4320"/>
          </w:tcPr>
          <w:p>
            <w:r>
              <w:t>Laura Bauer (CFO)</w:t>
            </w:r>
          </w:p>
        </w:tc>
      </w:tr>
      <w:tr>
        <w:tc>
          <w:tcPr>
            <w:tcW w:type="dxa" w:w="4320"/>
          </w:tcPr>
          <w:p>
            <w:r>
              <w:t>Berichtsmonat</w:t>
            </w:r>
          </w:p>
        </w:tc>
        <w:tc>
          <w:tcPr>
            <w:tcW w:type="dxa" w:w="4320"/>
          </w:tcPr>
          <w:p>
            <w:r>
              <w:t>April 2024</w:t>
            </w:r>
          </w:p>
        </w:tc>
      </w:tr>
      <w:tr>
        <w:tc>
          <w:tcPr>
            <w:tcW w:type="dxa" w:w="4320"/>
          </w:tcPr>
          <w:p>
            <w:r>
              <w:t>Erstellt am</w:t>
            </w:r>
          </w:p>
        </w:tc>
        <w:tc>
          <w:tcPr>
            <w:tcW w:type="dxa" w:w="4320"/>
          </w:tcPr>
          <w:p>
            <w:r>
              <w:t>05. Mai 2024</w:t>
            </w:r>
          </w:p>
        </w:tc>
      </w:tr>
    </w:tbl>
    <w:p>
      <w:pPr>
        <w:pStyle w:val="Heading3"/>
      </w:pPr>
      <w:r>
        <w:t>2. Status-Ampel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Ampel</w:t>
            </w:r>
          </w:p>
        </w:tc>
        <w:tc>
          <w:tcPr>
            <w:tcW w:type="dxa" w:w="2880"/>
          </w:tcPr>
          <w:p>
            <w:r>
              <w:t>Kommentar</w:t>
            </w:r>
          </w:p>
        </w:tc>
      </w:tr>
      <w:tr>
        <w:tc>
          <w:tcPr>
            <w:tcW w:type="dxa" w:w="2880"/>
          </w:tcPr>
          <w:p>
            <w:r>
              <w:t>Termin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Bezogen auf Gate-Soll-Termine</w:t>
            </w:r>
          </w:p>
        </w:tc>
      </w:tr>
      <w:tr>
        <w:tc>
          <w:tcPr>
            <w:tcW w:type="dxa" w:w="2880"/>
          </w:tcPr>
          <w:p>
            <w:r>
              <w:t>Budget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EAC vs. Genehmigtes Budget</w:t>
            </w:r>
          </w:p>
        </w:tc>
      </w:tr>
      <w:tr>
        <w:tc>
          <w:tcPr>
            <w:tcW w:type="dxa" w:w="2880"/>
          </w:tcPr>
          <w:p>
            <w:r>
              <w:t>Qualitaet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Defects, Test-Coverage, Q-KPIs</w:t>
            </w:r>
          </w:p>
        </w:tc>
      </w:tr>
      <w:tr>
        <w:tc>
          <w:tcPr>
            <w:tcW w:type="dxa" w:w="2880"/>
          </w:tcPr>
          <w:p>
            <w:r>
              <w:t>Scope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Keine offenen Scope-Aenderungen</w:t>
            </w:r>
          </w:p>
        </w:tc>
      </w:tr>
      <w:tr>
        <w:tc>
          <w:tcPr>
            <w:tcW w:type="dxa" w:w="2880"/>
          </w:tcPr>
          <w:p>
            <w:r>
              <w:t>Risiken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Drei Top-Risiken aktiv, Massnahmen wirksam</w:t>
            </w:r>
          </w:p>
        </w:tc>
      </w:tr>
    </w:tbl>
    <w:p>
      <w:pPr>
        <w:pStyle w:val="Heading3"/>
      </w:pPr>
      <w:r>
        <w:t>3. Zusammenfassung</w:t>
      </w:r>
    </w:p>
    <w:p>
      <w:r>
        <w:t>Das Projekt PRJ-2024-003 (SAP S/4HANA Rollout Polen) befindet sich im Berichtsmonat April 2024 planmaessig in der laufenden Phase. Termintreue mit leichter Verzoegerung; Massnahmen wirken. Der Hauptkunde intern RPL wurde im Rahmen der monatlichen OEM-Steuerung informiert und hat den Berichtsstand zur Kenntnis genommen. Die Lenkungsausschuss-Sitzung des laufenden Monats hat die Massnahmen-Plaene zur Kenntnis genommen und keine Eskalation ausgesprochen.</w:t>
      </w:r>
    </w:p>
    <w:p>
      <w:pPr>
        <w:pStyle w:val="Heading3"/>
      </w:pPr>
      <w:r>
        <w:t>4. Fortschritt im Berichtsmonat</w:t>
      </w:r>
    </w:p>
    <w:p>
      <w:pPr>
        <w:pStyle w:val="ListBullet"/>
      </w:pPr>
      <w:r>
        <w:t>Architektur-Review mit Vector und dSpace abgeschlossen.</w:t>
      </w:r>
    </w:p>
    <w:p>
      <w:pPr>
        <w:pStyle w:val="ListBullet"/>
      </w:pPr>
      <w:r>
        <w:t>B-Muster-Fertigung in REG Heilbronn angelaufen (12/15 Samples).</w:t>
      </w:r>
    </w:p>
    <w:p>
      <w:pPr>
        <w:pStyle w:val="ListBullet"/>
      </w:pPr>
      <w:r>
        <w:t>HiL-Pruefstand RSG Muenchen mit aktualisierter FW geflasht.</w:t>
      </w:r>
    </w:p>
    <w:p>
      <w:pPr>
        <w:pStyle w:val="ListBullet"/>
      </w:pPr>
      <w:r>
        <w:t>Lieferanten-Onboarding Aurix (Infineon Distributor Avnet) bestaetigt.</w:t>
      </w:r>
    </w:p>
    <w:p>
      <w:pPr>
        <w:pStyle w:val="Heading3"/>
      </w:pPr>
      <w:r>
        <w:t>5. Top-3-Risiken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Risiko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  <w:tc>
          <w:tcPr>
            <w:tcW w:type="dxa" w:w="2160"/>
          </w:tcPr>
          <w:p>
            <w:r>
              <w:t>Massnahme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</w:tr>
      <w:tr>
        <w:tc>
          <w:tcPr>
            <w:tcW w:type="dxa" w:w="2160"/>
          </w:tcPr>
          <w:p>
            <w:r>
              <w:t>Halbleiter-Allocation (Aurix/SoC)</w:t>
            </w:r>
          </w:p>
        </w:tc>
        <w:tc>
          <w:tcPr>
            <w:tcW w:type="dxa" w:w="2160"/>
          </w:tcPr>
          <w:p>
            <w:r>
              <w:t>Hoch</w:t>
            </w:r>
          </w:p>
        </w:tc>
        <w:tc>
          <w:tcPr>
            <w:tcW w:type="dxa" w:w="2160"/>
          </w:tcPr>
          <w:p>
            <w:r>
              <w:t>Strategic-Sourcing Eskalation</w:t>
            </w:r>
          </w:p>
        </w:tc>
        <w:tc>
          <w:tcPr>
            <w:tcW w:type="dxa" w:w="2160"/>
          </w:tcPr>
          <w:p>
            <w:r>
              <w:t>Group Purchasing</w:t>
            </w:r>
          </w:p>
        </w:tc>
      </w:tr>
      <w:tr>
        <w:tc>
          <w:tcPr>
            <w:tcW w:type="dxa" w:w="2160"/>
          </w:tcPr>
          <w:p>
            <w:r>
              <w:t>OEM-Spec-Spaetaenderung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CCB-Steuerung + Change-Control</w:t>
            </w:r>
          </w:p>
        </w:tc>
        <w:tc>
          <w:tcPr>
            <w:tcW w:type="dxa" w:w="2160"/>
          </w:tcPr>
          <w:p>
            <w:r>
              <w:t>PMO</w:t>
            </w:r>
          </w:p>
        </w:tc>
      </w:tr>
      <w:tr>
        <w:tc>
          <w:tcPr>
            <w:tcW w:type="dxa" w:w="2160"/>
          </w:tcPr>
          <w:p>
            <w:r>
              <w:t>Personalverfuegbarkeit Engineering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Capacity-Planning RSG</w:t>
            </w:r>
          </w:p>
        </w:tc>
        <w:tc>
          <w:tcPr>
            <w:tcW w:type="dxa" w:w="2160"/>
          </w:tcPr>
          <w:p>
            <w:r>
              <w:t>RSG Werkleitung</w:t>
            </w:r>
          </w:p>
        </w:tc>
      </w:tr>
    </w:tbl>
    <w:p>
      <w:pPr>
        <w:pStyle w:val="Heading3"/>
      </w:pPr>
      <w:r>
        <w:t>6. Budget-/Termin-Forecast</w:t>
      </w:r>
    </w:p>
    <w:p>
      <w:r>
        <w:t>Der Budget-Forecast (EAC) liegt aktuell innerhalb der vom Vorstand genehmigten Toleranz von 5 %. Die Termin-Verzuege aus den vorausgegangenen Phasen wurden teilweise durch parallelisierte Validierung kompensiert. Der naechste Termin-Update erfolgt im Rahmen der monatlichen Lenkungsausschuss-Sitzung.</w:t>
      </w:r>
    </w:p>
    <w:p>
      <w:pPr>
        <w:pStyle w:val="Heading3"/>
      </w:pPr>
      <w:r>
        <w:t>7. Themen / Plan fuer Folgemonat</w:t>
      </w:r>
    </w:p>
    <w:p>
      <w:pPr>
        <w:pStyle w:val="ListBullet"/>
      </w:pPr>
      <w:r>
        <w:t>Validierungs-Sign-Off</w:t>
      </w:r>
    </w:p>
    <w:p>
      <w:pPr>
        <w:pStyle w:val="ListBullet"/>
      </w:pPr>
      <w:r>
        <w:t>Type-Approval-Antrag KBA</w:t>
      </w:r>
    </w:p>
    <w:p>
      <w:pPr>
        <w:pStyle w:val="ListBullet"/>
      </w:pPr>
      <w:r>
        <w:t>Production Readiness Review</w:t>
      </w:r>
    </w:p>
    <w:p>
      <w:pPr>
        <w:pStyle w:val="ListBullet"/>
      </w:pPr>
      <w:r>
        <w:t>Lessons-Learned-Workshop</w:t>
      </w:r>
    </w:p>
    <w:p>
      <w:pPr>
        <w:pStyle w:val="Heading3"/>
      </w:pPr>
      <w:r>
        <w:t>8. Unterschrift / Freigabe</w:t>
      </w:r>
    </w:p>
    <w:p>
      <w:r>
        <w:t>Ort, Datum: Stuttgart, den 05. Mai 2024</w:t>
      </w:r>
    </w:p>
    <w:p>
      <w:r>
        <w:t>_________________________            _________________________</w:t>
        <w:br/>
        <w:t>Marek Wojciechowski (RPL)                          Laura Bauer</w:t>
        <w:br/>
        <w:t>Projektleitung                          Projekt-Sponsor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