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August 2024 planmaessig in der laufenden Phase. Termin- und Budget-konform; keine kritischen Risiken offen.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