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Gate-Review G2 – Systemdesign</w:t>
      </w:r>
    </w:p>
    <w:p>
      <w:pPr>
        <w:jc w:val="center"/>
      </w:pPr>
      <w:r>
        <w:t>PRJ-2024-004 – LkSG Supply Chain Audit | Lenkungsausschuss-Vorlage</w:t>
      </w:r>
    </w:p>
    <w:p/>
    <w:p>
      <w:pPr>
        <w:pStyle w:val="Heading3"/>
      </w:pPr>
      <w:r>
        <w:t>1. Gate-Identifikation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Projekt-ID</w:t>
            </w:r>
          </w:p>
        </w:tc>
        <w:tc>
          <w:tcPr>
            <w:tcW w:type="dxa" w:w="4320"/>
          </w:tcPr>
          <w:p>
            <w:r>
              <w:t>PRJ-2024-004</w:t>
            </w:r>
          </w:p>
        </w:tc>
      </w:tr>
      <w:tr>
        <w:tc>
          <w:tcPr>
            <w:tcW w:type="dxa" w:w="4320"/>
          </w:tcPr>
          <w:p>
            <w:r>
              <w:t>Projekt-Titel</w:t>
            </w:r>
          </w:p>
        </w:tc>
        <w:tc>
          <w:tcPr>
            <w:tcW w:type="dxa" w:w="4320"/>
          </w:tcPr>
          <w:p>
            <w:r>
              <w:t>LkSG Supply Chain Audit</w:t>
            </w:r>
          </w:p>
        </w:tc>
      </w:tr>
      <w:tr>
        <w:tc>
          <w:tcPr>
            <w:tcW w:type="dxa" w:w="4320"/>
          </w:tcPr>
          <w:p>
            <w:r>
              <w:t>Gate</w:t>
            </w:r>
          </w:p>
        </w:tc>
        <w:tc>
          <w:tcPr>
            <w:tcW w:type="dxa" w:w="4320"/>
          </w:tcPr>
          <w:p>
            <w:r>
              <w:t>G2 – Systemdesign</w:t>
            </w:r>
          </w:p>
        </w:tc>
      </w:tr>
      <w:tr>
        <w:tc>
          <w:tcPr>
            <w:tcW w:type="dxa" w:w="4320"/>
          </w:tcPr>
          <w:p>
            <w:r>
              <w:t>Gate-Inhalt (Phase Exit)</w:t>
            </w:r>
          </w:p>
        </w:tc>
        <w:tc>
          <w:tcPr>
            <w:tcW w:type="dxa" w:w="4320"/>
          </w:tcPr>
          <w:p>
            <w:r>
              <w:t>System-Architektur, Pflichtenheft Version 1.0</w:t>
            </w:r>
          </w:p>
        </w:tc>
      </w:tr>
      <w:tr>
        <w:tc>
          <w:tcPr>
            <w:tcW w:type="dxa" w:w="4320"/>
          </w:tcPr>
          <w:p>
            <w:r>
              <w:t>Sitzungstermin</w:t>
            </w:r>
          </w:p>
        </w:tc>
        <w:tc>
          <w:tcPr>
            <w:tcW w:type="dxa" w:w="4320"/>
          </w:tcPr>
          <w:p>
            <w:r>
              <w:t>15.10.2024</w:t>
            </w:r>
          </w:p>
        </w:tc>
      </w:tr>
      <w:tr>
        <w:tc>
          <w:tcPr>
            <w:tcW w:type="dxa" w:w="4320"/>
          </w:tcPr>
          <w:p>
            <w:r>
              <w:t>Sitzungsort</w:t>
            </w:r>
          </w:p>
        </w:tc>
        <w:tc>
          <w:tcPr>
            <w:tcW w:type="dxa" w:w="4320"/>
          </w:tcPr>
          <w:p>
            <w:r>
              <w:t>Brennhagen Elektronik AG, Stuttgart (hybrid via Teams)</w:t>
            </w:r>
          </w:p>
        </w:tc>
      </w:tr>
      <w:tr>
        <w:tc>
          <w:tcPr>
            <w:tcW w:type="dxa" w:w="4320"/>
          </w:tcPr>
          <w:p>
            <w:r>
              <w:t>Vorsitz</w:t>
            </w:r>
          </w:p>
        </w:tc>
        <w:tc>
          <w:tcPr>
            <w:tcW w:type="dxa" w:w="4320"/>
          </w:tcPr>
          <w:p>
            <w:r>
              <w:t>Stefan Richter (CMO/BD)</w:t>
            </w:r>
          </w:p>
        </w:tc>
      </w:tr>
      <w:tr>
        <w:tc>
          <w:tcPr>
            <w:tcW w:type="dxa" w:w="4320"/>
          </w:tcPr>
          <w:p>
            <w:r>
              <w:t>Projektleitung</w:t>
            </w:r>
          </w:p>
        </w:tc>
        <w:tc>
          <w:tcPr>
            <w:tcW w:type="dxa" w:w="4320"/>
          </w:tcPr>
          <w:p>
            <w:r>
              <w:t>Dr. Klaudia Hoffmann (Compliance)</w:t>
            </w:r>
          </w:p>
        </w:tc>
      </w:tr>
    </w:tbl>
    <w:p>
      <w:pPr>
        <w:pStyle w:val="Heading3"/>
      </w:pPr>
      <w:r>
        <w:t>2. Status-Ampel</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Status</w:t>
            </w:r>
          </w:p>
        </w:tc>
        <w:tc>
          <w:tcPr>
            <w:tcW w:type="dxa" w:w="2880"/>
          </w:tcPr>
          <w:p>
            <w:r>
              <w:t>Kommentar</w:t>
            </w:r>
          </w:p>
        </w:tc>
      </w:tr>
      <w:tr>
        <w:tc>
          <w:tcPr>
            <w:tcW w:type="dxa" w:w="2880"/>
          </w:tcPr>
          <w:p>
            <w:r>
              <w:t>Termin</w:t>
            </w:r>
          </w:p>
        </w:tc>
        <w:tc>
          <w:tcPr>
            <w:tcW w:type="dxa" w:w="2880"/>
          </w:tcPr>
          <w:p>
            <w:r>
              <w:t>GELB</w:t>
            </w:r>
          </w:p>
        </w:tc>
        <w:tc>
          <w:tcPr>
            <w:tcW w:type="dxa" w:w="2880"/>
          </w:tcPr>
          <w:p>
            <w:r>
              <w:t>Termintreue zu Soll-Datum innerhalb +/- 2 Wochen</w:t>
            </w:r>
          </w:p>
        </w:tc>
      </w:tr>
      <w:tr>
        <w:tc>
          <w:tcPr>
            <w:tcW w:type="dxa" w:w="2880"/>
          </w:tcPr>
          <w:p>
            <w:r>
              <w:t>Budget</w:t>
            </w:r>
          </w:p>
        </w:tc>
        <w:tc>
          <w:tcPr>
            <w:tcW w:type="dxa" w:w="2880"/>
          </w:tcPr>
          <w:p>
            <w:r>
              <w:t>GRUEN</w:t>
            </w:r>
          </w:p>
        </w:tc>
        <w:tc>
          <w:tcPr>
            <w:tcW w:type="dxa" w:w="2880"/>
          </w:tcPr>
          <w:p>
            <w:r>
              <w:t>Plan-Ist-Abweichung &lt; 5 %</w:t>
            </w:r>
          </w:p>
        </w:tc>
      </w:tr>
      <w:tr>
        <w:tc>
          <w:tcPr>
            <w:tcW w:type="dxa" w:w="2880"/>
          </w:tcPr>
          <w:p>
            <w:r>
              <w:t>Qualitaet</w:t>
            </w:r>
          </w:p>
        </w:tc>
        <w:tc>
          <w:tcPr>
            <w:tcW w:type="dxa" w:w="2880"/>
          </w:tcPr>
          <w:p>
            <w:r>
              <w:t>GRUEN</w:t>
            </w:r>
          </w:p>
        </w:tc>
        <w:tc>
          <w:tcPr>
            <w:tcW w:type="dxa" w:w="2880"/>
          </w:tcPr>
          <w:p>
            <w:r>
              <w:t>Keine kritischen Mangel gemeldet</w:t>
            </w:r>
          </w:p>
        </w:tc>
      </w:tr>
      <w:tr>
        <w:tc>
          <w:tcPr>
            <w:tcW w:type="dxa" w:w="2880"/>
          </w:tcPr>
          <w:p>
            <w:r>
              <w:t>Scope</w:t>
            </w:r>
          </w:p>
        </w:tc>
        <w:tc>
          <w:tcPr>
            <w:tcW w:type="dxa" w:w="2880"/>
          </w:tcPr>
          <w:p>
            <w:r>
              <w:t>GRUEN</w:t>
            </w:r>
          </w:p>
        </w:tc>
        <w:tc>
          <w:tcPr>
            <w:tcW w:type="dxa" w:w="2880"/>
          </w:tcPr>
          <w:p>
            <w:r>
              <w:t>Keine Scope-Aenderungen nach Charter</w:t>
            </w:r>
          </w:p>
        </w:tc>
      </w:tr>
      <w:tr>
        <w:tc>
          <w:tcPr>
            <w:tcW w:type="dxa" w:w="2880"/>
          </w:tcPr>
          <w:p>
            <w:r>
              <w:t>Risiken</w:t>
            </w:r>
          </w:p>
        </w:tc>
        <w:tc>
          <w:tcPr>
            <w:tcW w:type="dxa" w:w="2880"/>
          </w:tcPr>
          <w:p>
            <w:r>
              <w:t>GELB</w:t>
            </w:r>
          </w:p>
        </w:tc>
        <w:tc>
          <w:tcPr>
            <w:tcW w:type="dxa" w:w="2880"/>
          </w:tcPr>
          <w:p>
            <w:r>
              <w:t>Drei Top-Risiken aktiv – Massnahmen definiert</w:t>
            </w:r>
          </w:p>
        </w:tc>
      </w:tr>
    </w:tbl>
    <w:p>
      <w:pPr>
        <w:pStyle w:val="Heading3"/>
      </w:pPr>
      <w:r>
        <w:t>3. Erfuellung der Eintrittskriterien</w:t>
      </w:r>
    </w:p>
    <w:p>
      <w:pPr>
        <w:pStyle w:val="ListBullet"/>
      </w:pPr>
      <w:r>
        <w:t>Pflichtenheft abgenommen – ERFUELLT</w:t>
      </w:r>
    </w:p>
    <w:p>
      <w:pPr>
        <w:pStyle w:val="ListBullet"/>
      </w:pPr>
      <w:r>
        <w:t>Architektur-Review Vector / dSpace – ERFUELLT</w:t>
      </w:r>
    </w:p>
    <w:p>
      <w:pPr>
        <w:pStyle w:val="ListBullet"/>
      </w:pPr>
      <w:r>
        <w:t>FMEA D-FMEA + System-FMEA Stand 80 % – ERFUELLT</w:t>
      </w:r>
    </w:p>
    <w:p>
      <w:pPr>
        <w:pStyle w:val="ListBullet"/>
      </w:pPr>
      <w:r>
        <w:t>Lieferanten-Vorvereinbarungen (RFI/RFQ) – ERFUELLT</w:t>
      </w:r>
    </w:p>
    <w:p>
      <w:pPr>
        <w:pStyle w:val="Heading3"/>
      </w:pPr>
      <w:r>
        <w:t>4. Praesentierte Liefergegenstaende</w:t>
      </w:r>
    </w:p>
    <w:p>
      <w:r>
        <w:t>Im Rahmen der Gate-Sitzung wurden folgende Artefakte vom Projektteam praesentiert und vom Lenkungsausschuss inhaltlich abgenommen: Status-Bericht der vergangenen Phase, Risiko-Register mit Massnahmen-Status, Budget-Forecast inkl. EAC-Berechnung, technische Praesentation (Architektur-/Validierungs-Ergebnisse), Update der Stakeholder-Matrix sowie Update des Meilensteinplans fuer die naechste Phase. Alle Dokumente sind im Projekt-Wiki unter /projekte/PRJ-2024-004/gates/G2/ versioniert abgelegt.</w:t>
      </w:r>
    </w:p>
    <w:p>
      <w:pPr>
        <w:pStyle w:val="Heading3"/>
      </w:pPr>
      <w:r>
        <w:t>5. Beratung und Diskussion</w:t>
      </w:r>
    </w:p>
    <w:p>
      <w:r>
        <w:t>Der Lenkungsausschuss diskutierte insbesondere die offenen Top-Risiken und die Auswirkungen auf die nachfolgende Phase. Group-Controlling (vertreten durch Florian Maier) bestaetigte die Budget-Aktualitaet und wies auf die Aktivierungspruefung gem. IAS 38 hin. Group Quality (vertreten durch Sabine Brand, REG) bestaetigte die Konformitaet mit IATF 16949 und VDA 6.3. Konzernbetriebsrat (Marlies Duerr) nahm die Personalplanung der Folgephase zur Kenntnis und meldete keine Einwaende an.</w:t>
      </w:r>
    </w:p>
    <w:p>
      <w:pPr>
        <w:pStyle w:val="Heading3"/>
      </w:pPr>
      <w:r>
        <w:t>6. Beschluesse</w:t>
      </w:r>
    </w:p>
    <w:p>
      <w:pPr>
        <w:pStyle w:val="ListBullet"/>
      </w:pPr>
      <w:r>
        <w:t>Gate G2 wird FREIGEGEBEN (Phase Exit bestaetigt).</w:t>
      </w:r>
    </w:p>
    <w:p>
      <w:pPr>
        <w:pStyle w:val="ListBullet"/>
      </w:pPr>
      <w:r>
        <w:t>Naechste Phase darf gestartet werden; Budget der Folgephase wird auf Basis aktualisierter EAC freigegeben.</w:t>
      </w:r>
    </w:p>
    <w:p>
      <w:pPr>
        <w:pStyle w:val="ListBullet"/>
      </w:pPr>
      <w:r>
        <w:t>Top-Risiken sind in der Risiko-Sitzung monatlich zu reviewen.</w:t>
      </w:r>
    </w:p>
    <w:p>
      <w:pPr>
        <w:pStyle w:val="ListBullet"/>
      </w:pPr>
      <w:r>
        <w:t>Status-Reporting an Lenkungsausschuss erfolgt weiterhin monatlich.</w:t>
      </w:r>
    </w:p>
    <w:p>
      <w:pPr>
        <w:pStyle w:val="ListBullet"/>
      </w:pPr>
      <w:r>
        <w:t>Folge-Gate ist gemaess Meilensteinplan terminiert.</w:t>
      </w:r>
    </w:p>
    <w:p>
      <w:pPr>
        <w:pStyle w:val="Heading3"/>
      </w:pPr>
      <w:r>
        <w:t>7. Aktionsliste (Folgemassnahmen)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Nr.</w:t>
            </w:r>
          </w:p>
        </w:tc>
        <w:tc>
          <w:tcPr>
            <w:tcW w:type="dxa" w:w="2160"/>
          </w:tcPr>
          <w:p>
            <w:r>
              <w:t>Aktion</w:t>
            </w:r>
          </w:p>
        </w:tc>
        <w:tc>
          <w:tcPr>
            <w:tcW w:type="dxa" w:w="2160"/>
          </w:tcPr>
          <w:p>
            <w:r>
              <w:t>Verantwortlich</w:t>
            </w:r>
          </w:p>
        </w:tc>
        <w:tc>
          <w:tcPr>
            <w:tcW w:type="dxa" w:w="2160"/>
          </w:tcPr>
          <w:p>
            <w:r>
              <w:t>Termin</w:t>
            </w:r>
          </w:p>
        </w:tc>
      </w:tr>
      <w:tr>
        <w:tc>
          <w:tcPr>
            <w:tcW w:type="dxa" w:w="2160"/>
          </w:tcPr>
          <w:p>
            <w:r>
              <w:t>1</w:t>
            </w:r>
          </w:p>
        </w:tc>
        <w:tc>
          <w:tcPr>
            <w:tcW w:type="dxa" w:w="2160"/>
          </w:tcPr>
          <w:p>
            <w:r>
              <w:t>Aktualisierung Risiko-Register und Verteilung an SC</w:t>
            </w:r>
          </w:p>
        </w:tc>
        <w:tc>
          <w:tcPr>
            <w:tcW w:type="dxa" w:w="2160"/>
          </w:tcPr>
          <w:p>
            <w:r>
              <w:t>Dr. Klaudia Hoffmann (Compliance)</w:t>
            </w:r>
          </w:p>
        </w:tc>
        <w:tc>
          <w:tcPr>
            <w:tcW w:type="dxa" w:w="2160"/>
          </w:tcPr>
          <w:p>
            <w:r>
              <w:t>+2 Wochen</w:t>
            </w:r>
          </w:p>
        </w:tc>
      </w:tr>
      <w:tr>
        <w:tc>
          <w:tcPr>
            <w:tcW w:type="dxa" w:w="2160"/>
          </w:tcPr>
          <w:p>
            <w:r>
              <w:t>2</w:t>
            </w:r>
          </w:p>
        </w:tc>
        <w:tc>
          <w:tcPr>
            <w:tcW w:type="dxa" w:w="2160"/>
          </w:tcPr>
          <w:p>
            <w:r>
              <w:t>Detailbudget Folgephase im SAP CO buchen</w:t>
            </w:r>
          </w:p>
        </w:tc>
        <w:tc>
          <w:tcPr>
            <w:tcW w:type="dxa" w:w="2160"/>
          </w:tcPr>
          <w:p>
            <w:r>
              <w:t>Florian Maier</w:t>
            </w:r>
          </w:p>
        </w:tc>
        <w:tc>
          <w:tcPr>
            <w:tcW w:type="dxa" w:w="2160"/>
          </w:tcPr>
          <w:p>
            <w:r>
              <w:t>+3 Wochen</w:t>
            </w:r>
          </w:p>
        </w:tc>
      </w:tr>
      <w:tr>
        <w:tc>
          <w:tcPr>
            <w:tcW w:type="dxa" w:w="2160"/>
          </w:tcPr>
          <w:p>
            <w:r>
              <w:t>3</w:t>
            </w:r>
          </w:p>
        </w:tc>
        <w:tc>
          <w:tcPr>
            <w:tcW w:type="dxa" w:w="2160"/>
          </w:tcPr>
          <w:p>
            <w:r>
              <w:t>Aktualisierung Pflichtenheft auf Stand Gate-Beschluss</w:t>
            </w:r>
          </w:p>
        </w:tc>
        <w:tc>
          <w:tcPr>
            <w:tcW w:type="dxa" w:w="2160"/>
          </w:tcPr>
          <w:p>
            <w:r>
              <w:t>Dr. Klaudia Hoffmann (Compliance)</w:t>
            </w:r>
          </w:p>
        </w:tc>
        <w:tc>
          <w:tcPr>
            <w:tcW w:type="dxa" w:w="2160"/>
          </w:tcPr>
          <w:p>
            <w:r>
              <w:t>+4 Wochen</w:t>
            </w:r>
          </w:p>
        </w:tc>
      </w:tr>
      <w:tr>
        <w:tc>
          <w:tcPr>
            <w:tcW w:type="dxa" w:w="2160"/>
          </w:tcPr>
          <w:p>
            <w:r>
              <w:t>4</w:t>
            </w:r>
          </w:p>
        </w:tc>
        <w:tc>
          <w:tcPr>
            <w:tcW w:type="dxa" w:w="2160"/>
          </w:tcPr>
          <w:p>
            <w:r>
              <w:t>Stakeholder-Update an OEM-Kontakt</w:t>
            </w:r>
          </w:p>
        </w:tc>
        <w:tc>
          <w:tcPr>
            <w:tcW w:type="dxa" w:w="2160"/>
          </w:tcPr>
          <w:p>
            <w:r>
              <w:t>Dr. Klaudia Hoffmann (Compliance)</w:t>
            </w:r>
          </w:p>
        </w:tc>
        <w:tc>
          <w:tcPr>
            <w:tcW w:type="dxa" w:w="2160"/>
          </w:tcPr>
          <w:p>
            <w:r>
              <w:t>+1 Woche</w:t>
            </w:r>
          </w:p>
        </w:tc>
      </w:tr>
      <w:tr>
        <w:tc>
          <w:tcPr>
            <w:tcW w:type="dxa" w:w="2160"/>
          </w:tcPr>
          <w:p>
            <w:r>
              <w:t>5</w:t>
            </w:r>
          </w:p>
        </w:tc>
        <w:tc>
          <w:tcPr>
            <w:tcW w:type="dxa" w:w="2160"/>
          </w:tcPr>
          <w:p>
            <w:r>
              <w:t>Eintrag in Projekt-Tracker / IFS Project &amp; Portfolio</w:t>
            </w:r>
          </w:p>
        </w:tc>
        <w:tc>
          <w:tcPr>
            <w:tcW w:type="dxa" w:w="2160"/>
          </w:tcPr>
          <w:p>
            <w:r>
              <w:t>PMO</w:t>
            </w:r>
          </w:p>
        </w:tc>
        <w:tc>
          <w:tcPr>
            <w:tcW w:type="dxa" w:w="2160"/>
          </w:tcPr>
          <w:p>
            <w:r>
              <w:t>+1 Woche</w:t>
            </w:r>
          </w:p>
        </w:tc>
      </w:tr>
    </w:tbl>
    <w:p>
      <w:pPr>
        <w:pStyle w:val="Heading3"/>
      </w:pPr>
      <w:r>
        <w:t>8. Unterschriften</w:t>
      </w:r>
    </w:p>
    <w:p>
      <w:r>
        <w:t>Ort, Datum: Stuttgart, den 15.10.2024</w:t>
      </w:r>
    </w:p>
    <w:p>
      <w:r>
        <w:t>_________________________            _________________________</w:t>
        <w:br/>
        <w:t>Stefan Richter                          Dr. Klaudia Hoffmann (Compliance)</w:t>
        <w:br/>
        <w:t>Vorsitz Lenkungsausschuss                          Projektleitung</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