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G4 – Validierung</w:t>
      </w:r>
    </w:p>
    <w:p>
      <w:pPr>
        <w:jc w:val="center"/>
      </w:pPr>
      <w:r>
        <w:t>PRJ-2024-004 – LkSG Supply Chain Audit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PRJ-2024-004</w:t>
            </w:r>
          </w:p>
        </w:tc>
      </w:tr>
      <w:tr>
        <w:tc>
          <w:tcPr>
            <w:tcW w:type="dxa" w:w="4320"/>
          </w:tcPr>
          <w:p>
            <w:r>
              <w:t>Projekt-Titel</w:t>
            </w:r>
          </w:p>
        </w:tc>
        <w:tc>
          <w:tcPr>
            <w:tcW w:type="dxa" w:w="4320"/>
          </w:tcPr>
          <w:p>
            <w:r>
              <w:t>LkSG Supply Chain Audit</w:t>
            </w:r>
          </w:p>
        </w:tc>
      </w:tr>
      <w:tr>
        <w:tc>
          <w:tcPr>
            <w:tcW w:type="dxa" w:w="4320"/>
          </w:tcPr>
          <w:p>
            <w:r>
              <w:t>Gate</w:t>
            </w:r>
          </w:p>
        </w:tc>
        <w:tc>
          <w:tcPr>
            <w:tcW w:type="dxa" w:w="4320"/>
          </w:tcPr>
          <w:p>
            <w:r>
              <w:t>G4 – Validierung</w:t>
            </w:r>
          </w:p>
        </w:tc>
      </w:tr>
      <w:tr>
        <w:tc>
          <w:tcPr>
            <w:tcW w:type="dxa" w:w="4320"/>
          </w:tcPr>
          <w:p>
            <w:r>
              <w:t>Gate-Inhalt (Phase Exit)</w:t>
            </w:r>
          </w:p>
        </w:tc>
        <w:tc>
          <w:tcPr>
            <w:tcW w:type="dxa" w:w="4320"/>
          </w:tcPr>
          <w:p>
            <w:r>
              <w:t>PPAP, Production Validation, Type Approval</w:t>
            </w:r>
          </w:p>
        </w:tc>
      </w:tr>
      <w:tr>
        <w:tc>
          <w:tcPr>
            <w:tcW w:type="dxa" w:w="4320"/>
          </w:tcPr>
          <w:p>
            <w:r>
              <w:t>Sitzungstermin</w:t>
            </w:r>
          </w:p>
        </w:tc>
        <w:tc>
          <w:tcPr>
            <w:tcW w:type="dxa" w:w="4320"/>
          </w:tcPr>
          <w:p>
            <w:r>
              <w:t>15.11.2025</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Stefan Richter (CMO/BD)</w:t>
            </w:r>
          </w:p>
        </w:tc>
      </w:tr>
      <w:tr>
        <w:tc>
          <w:tcPr>
            <w:tcW w:type="dxa" w:w="4320"/>
          </w:tcPr>
          <w:p>
            <w:r>
              <w:t>Projektleitung</w:t>
            </w:r>
          </w:p>
        </w:tc>
        <w:tc>
          <w:tcPr>
            <w:tcW w:type="dxa" w:w="4320"/>
          </w:tcPr>
          <w:p>
            <w:r>
              <w:t>Dr. Klaudia Hoffmann (Compliance)</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PV-Plan vollstaendig abgearbeitet – ERFUELLT</w:t>
      </w:r>
    </w:p>
    <w:p>
      <w:pPr>
        <w:pStyle w:val="ListBullet"/>
      </w:pPr>
      <w:r>
        <w:t>PPAP Level 3 beim Kunden eingereicht – ERFUELLT</w:t>
      </w:r>
    </w:p>
    <w:p>
      <w:pPr>
        <w:pStyle w:val="ListBullet"/>
      </w:pPr>
      <w:r>
        <w:t>Cyber-Security UN R155 / TISAX-Konformitaet – ERFUELLT</w:t>
      </w:r>
    </w:p>
    <w:p>
      <w:pPr>
        <w:pStyle w:val="ListBullet"/>
      </w:pPr>
      <w:r>
        <w:t>EOL-Pruefstand abgenommen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/projekte/PRJ-2024-004/gates/G4/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G4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Klaudia Hoffmann (Compliance)</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Klaudia Hoffmann (Compliance)</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Klaudia Hoffmann (Compliance)</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15.11.2025</w:t>
      </w:r>
    </w:p>
    <w:p>
      <w:r>
        <w:t>_________________________            _________________________</w:t>
        <w:br/>
        <w:t>Stefan Richter                          Dr. Klaudia Hoffmann (Compliance)</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