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PRJ-2024-004 – LkSG Supply Chain Audit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PRJ-2024-004.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intern (Konzern, alle Werke)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Stefan Richter (CMO/BD)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Lieferketten-Compliance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Lieferanten-Risikoanalyse (IntegrityNext)</w:t>
      </w:r>
    </w:p>
    <w:p>
      <w:pPr>
        <w:pStyle w:val="ListBullet"/>
      </w:pPr>
      <w:r>
        <w:t>Beschwerdemechanismus (Whistleblowing-Tool EQS)</w:t>
      </w:r>
    </w:p>
    <w:p>
      <w:pPr>
        <w:pStyle w:val="ListBullet"/>
      </w:pPr>
      <w:r>
        <w:t>BAFA-Bericht 04/2025</w:t>
      </w:r>
    </w:p>
    <w:p>
      <w:pPr>
        <w:pStyle w:val="ListBullet"/>
      </w:pPr>
      <w:r>
        <w:t>Tier-2-Eskalations-Pfad (Konfliktmineralien)</w:t>
      </w:r>
    </w:p>
    <w:p>
      <w:pPr>
        <w:pStyle w:val="ListBullet"/>
      </w:pPr>
      <w:r>
        <w:t>Schulungen Einkauf 86 MA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Erstmalige Umsetzung des Lieferkettensorgfaltspflichtengesetz (LkSG) fuer Brennhagen-Konzern: Risikoanalyse 1.420 Direktlieferanten, Praeventionsmassnahmen, Beschwerdemechanismus, jaehrlicher BAFA-Bericht und Integration in SAP Ariba. Ziel-Termin SOP: Q4 2024.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Klaudia Hoffmann (Compliance)                          Stefan Richter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