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Juli 2024 – PRJ-2024-004</w:t>
      </w:r>
    </w:p>
    <w:p>
      <w:pPr>
        <w:jc w:val="center"/>
      </w:pPr>
      <w:r>
        <w:t>LkSG Supply Chain Audit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PRJ-2024-004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LkSG Supply Chain Audit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Lieferketten-Compliance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intern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Klaudia Hoffmann (Compliance)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Stefan Richter (CMO/BD)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Juli 2024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August 2024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PRJ-2024-004 (LkSG Supply Chain Audit) befindet sich im Berichtsmonat Juli 2024 planmaessig in der laufenden Phase. Termin- und Budget-konform; keine kritischen Risiken offen. Der Hauptkunde intern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Validierungs-Kampagne Kalt-/Warm-Test gestartet.</w:t>
      </w:r>
    </w:p>
    <w:p>
      <w:pPr>
        <w:pStyle w:val="ListBullet"/>
      </w:pPr>
      <w:r>
        <w:t>PPAP-Vorbereitung Level 3 mit Q-Team REG abgestimmt.</w:t>
      </w:r>
    </w:p>
    <w:p>
      <w:pPr>
        <w:pStyle w:val="ListBullet"/>
      </w:pPr>
      <w:r>
        <w:t>AUTOSAR-Upgrade auf R20-11 in Integration getestet.</w:t>
      </w:r>
    </w:p>
    <w:p>
      <w:pPr>
        <w:pStyle w:val="ListBullet"/>
      </w:pPr>
      <w:r>
        <w:t>OEM-spezifische Diagnose-Spezifikation (UDS-Layer) eingefroren.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Validierungs-Sign-Off</w:t>
      </w:r>
    </w:p>
    <w:p>
      <w:pPr>
        <w:pStyle w:val="ListBullet"/>
      </w:pPr>
      <w:r>
        <w:t>Type-Approval-Antrag KBA</w:t>
      </w:r>
    </w:p>
    <w:p>
      <w:pPr>
        <w:pStyle w:val="ListBullet"/>
      </w:pPr>
      <w:r>
        <w:t>Production Readiness Review</w:t>
      </w:r>
    </w:p>
    <w:p>
      <w:pPr>
        <w:pStyle w:val="ListBullet"/>
      </w:pPr>
      <w:r>
        <w:t>Lessons-Learned-Workshop</w:t>
      </w:r>
    </w:p>
    <w:p>
      <w:pPr>
        <w:pStyle w:val="Heading3"/>
      </w:pPr>
      <w:r>
        <w:t>8. Unterschrift / Freigabe</w:t>
      </w:r>
    </w:p>
    <w:p>
      <w:r>
        <w:t>Ort, Datum: Stuttgart, den 05. August 2024</w:t>
      </w:r>
    </w:p>
    <w:p>
      <w:r>
        <w:t>_________________________            _________________________</w:t>
        <w:br/>
        <w:t>Dr. Klaudia Hoffmann (Compliance)                          Stefan Richter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