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Maerz 2024 – PRJ-2024-004</w:t>
      </w:r>
    </w:p>
    <w:p>
      <w:pPr>
        <w:jc w:val="center"/>
      </w:pPr>
      <w:r>
        <w:t>LkSG Supply Chain Audit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PRJ-2024-004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LkSG Supply Chain Audit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Lieferketten-Compliance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Klaudia Hoffmann (Compliance)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Stefan Richter (CMO/BD)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Maerz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April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PRJ-2024-004 (LkSG Supply Chain Audit) befindet sich im Berichtsmonat Maerz 2024 planmaessig in der laufenden Phase. Termintreue mit leichter Verzoegerung; Massnahmen wirken. Der Hauptkunde intern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Erste Fahrzeug-Erprobung bei OEM (closed-area) erfolgreich.</w:t>
      </w:r>
    </w:p>
    <w:p>
      <w:pPr>
        <w:pStyle w:val="ListBullet"/>
      </w:pPr>
      <w:r>
        <w:t>Integrations-Build #142 erfolgreich; CI/CD-Pipeline stabil.</w:t>
      </w:r>
    </w:p>
    <w:p>
      <w:pPr>
        <w:pStyle w:val="ListBullet"/>
      </w:pPr>
      <w:r>
        <w:t>Werkleitung REG / RCZ informiert; Anlauf-Vorbereitung gestartet.</w:t>
      </w:r>
    </w:p>
    <w:p>
      <w:pPr>
        <w:pStyle w:val="ListBullet"/>
      </w:pPr>
      <w:r>
        <w:t>Schulungs-Curriculum fuer Linien-MA erstellt (16 h pro Schicht).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Validierungs-Sign-Off</w:t>
      </w:r>
    </w:p>
    <w:p>
      <w:pPr>
        <w:pStyle w:val="ListBullet"/>
      </w:pPr>
      <w:r>
        <w:t>Type-Approval-Antrag KBA</w:t>
      </w:r>
    </w:p>
    <w:p>
      <w:pPr>
        <w:pStyle w:val="ListBullet"/>
      </w:pPr>
      <w:r>
        <w:t>Production Readiness Review</w:t>
      </w:r>
    </w:p>
    <w:p>
      <w:pPr>
        <w:pStyle w:val="ListBullet"/>
      </w:pPr>
      <w:r>
        <w:t>Lessons-Learned-Workshop</w:t>
      </w:r>
    </w:p>
    <w:p>
      <w:pPr>
        <w:pStyle w:val="Heading3"/>
      </w:pPr>
      <w:r>
        <w:t>8. Unterschrift / Freigabe</w:t>
      </w:r>
    </w:p>
    <w:p>
      <w:r>
        <w:t>Ort, Datum: Stuttgart, den 05. April 2024</w:t>
      </w:r>
    </w:p>
    <w:p>
      <w:r>
        <w:t>_________________________            _________________________</w:t>
        <w:br/>
        <w:t>Dr. Klaudia Hoffmann (Compliance)                          Stefan Richter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