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Pflichtenheft PRJ-2024-005 – Cybersecurity TISAX Level 3</w:t>
      </w:r>
    </w:p>
    <w:p>
      <w:pPr>
        <w:jc w:val="center"/>
      </w:pPr>
      <w:r>
        <w:t>Auftragnehmer-Konkretisierung, Version 1.0</w:t>
      </w:r>
    </w:p>
    <w:p/>
    <w:p>
      <w:pPr>
        <w:pStyle w:val="Heading3"/>
      </w:pPr>
      <w:r>
        <w:t>1. Bezug zum Lastenheft</w:t>
      </w:r>
    </w:p>
    <w:p>
      <w:r>
        <w:t>Das vorliegende Pflichtenheft ist die Antwort des Auftragnehmers (REA-Entwicklungsteam) auf das Lastenheft PRJ-2024-005. Es konkretisiert die Anforderungen, beschreibt die technische Umsetzung und enthaelt die Verbindlichkeitserklaerung gegenueber dem Auftraggeber.</w:t>
      </w:r>
    </w:p>
    <w:p>
      <w:pPr>
        <w:pStyle w:val="Heading3"/>
      </w:pPr>
      <w:r>
        <w:t>2. 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PRJ-2024-005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Cybersecurity</w:t>
            </w:r>
          </w:p>
        </w:tc>
      </w:tr>
      <w:tr>
        <w:tc>
          <w:tcPr>
            <w:tcW w:type="dxa" w:w="4320"/>
          </w:tcPr>
          <w:p>
            <w:r>
              <w:t>Kunde / OEM</w:t>
            </w:r>
          </w:p>
        </w:tc>
        <w:tc>
          <w:tcPr>
            <w:tcW w:type="dxa" w:w="4320"/>
          </w:tcPr>
          <w:p>
            <w:r>
              <w:t>intern (Konzern, Maingate fuer VDA-Audit)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Andreas Buehler (CAE)</w:t>
            </w:r>
          </w:p>
        </w:tc>
      </w:tr>
      <w:tr>
        <w:tc>
          <w:tcPr>
            <w:tcW w:type="dxa" w:w="4320"/>
          </w:tcPr>
          <w:p>
            <w:r>
              <w:t>Sponsor / Auftraggeber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</w:tbl>
    <w:p>
      <w:pPr>
        <w:pStyle w:val="Heading3"/>
      </w:pPr>
      <w:r>
        <w:t>3. Loesungs-Architektur (Ueberblick)</w:t>
      </w:r>
    </w:p>
    <w:p>
      <w:r>
        <w:t>Die Loesung baut auf der Plattform-Strategie der Brennhagen Elektronik AG fuer Cybersecurity auf. Die Architektur besteht aus einem Hauptsteuergeraet, mehreren Sub-Komponenten sowie der Software-Komponente in den Schichten Hardware-Abstraktion, Basis-Software (AUTOSAR Classic 4.3 / Adaptive 21-11), Applikations-Software und Diagnose. Die elektrische Architektur folgt der Plattform-Referenz von Brennhagen, ergaenzt um die kundenspezifischen Schnittstellen aus dem Lastenheft.</w:t>
      </w:r>
    </w:p>
    <w:p>
      <w:pPr>
        <w:pStyle w:val="Heading3"/>
      </w:pPr>
      <w:r>
        <w:t>4. Konkretisierung der Anforderungen</w:t>
      </w:r>
    </w:p>
    <w:p>
      <w:pPr>
        <w:pStyle w:val="ListBullet"/>
      </w:pPr>
      <w:r>
        <w:t>ISMS-Aufbau ISO 27001:2022</w:t>
      </w:r>
    </w:p>
    <w:p>
      <w:pPr>
        <w:pStyle w:val="ListBullet"/>
      </w:pPr>
      <w:r>
        <w:t>Asset-Management CMDB ServiceNow</w:t>
      </w:r>
    </w:p>
    <w:p>
      <w:pPr>
        <w:pStyle w:val="ListBullet"/>
      </w:pPr>
      <w:r>
        <w:t>Penetration-Tests (Schwarz/Grey-Box)</w:t>
      </w:r>
    </w:p>
    <w:p>
      <w:pPr>
        <w:pStyle w:val="ListBullet"/>
      </w:pPr>
      <w:r>
        <w:t>Awareness-Kampagne 4.180 MA</w:t>
      </w:r>
    </w:p>
    <w:p>
      <w:pPr>
        <w:pStyle w:val="ListBullet"/>
      </w:pPr>
      <w:r>
        <w:t>DEKRA-Audit Q1/2025</w:t>
      </w:r>
    </w:p>
    <w:p>
      <w:pPr>
        <w:pStyle w:val="Heading3"/>
      </w:pPr>
      <w:r>
        <w:t>5. Verifikations-Strategie</w:t>
      </w:r>
    </w:p>
    <w:p>
      <w:r>
        <w:t>Die Verifikation der hier konkretisierten Anforderungen erfolgt auf vier Ebenen: 1) Unit-Test (Coverage &gt; 90 % MC/DC), 2) Integrationstest (HiL bei RSG Muenchen), 3) System-Test (Komponenten-Pruefstand und Vehicle-in-the-Loop) und 4) Validierung im Zielfahrzeug. Ein vollstaendiges Requirements-Tracing wird in IBM DOORS Next gefuehrt und im RTM dokumentiert.</w:t>
      </w:r>
    </w:p>
    <w:p>
      <w:pPr>
        <w:pStyle w:val="Heading3"/>
      </w:pPr>
      <w:r>
        <w:t>6. Annahmen, Voraussetzungen, Risiken</w:t>
      </w:r>
    </w:p>
    <w:p>
      <w:r>
        <w:t>Wesentliche Annahmen sind: 1) Verfuegbarkeit der angefragten Halbleiter-Bausteine (Infineon Aurix, NXP S32 etc.) gemaess Allocation-Bestaetigung; 2) Bereitstellung der OEM-spezifischen Testpattern und Fahrzeug-Schnittstellen; 3) Aktualitaet der OEM-Spezifikation (eingefrorener Stand zu definiertem Zeitpunkt). Aenderungen an diesen Annahmen werden als Change-Request behandelt.</w:t>
      </w:r>
    </w:p>
    <w:p>
      <w:pPr>
        <w:pStyle w:val="Heading3"/>
      </w:pPr>
      <w:r>
        <w:t>7. Termine, Liefergegenstaende, Akzeptanztests</w:t>
      </w:r>
    </w:p>
    <w:p>
      <w:r>
        <w:t>Erlangung der TISAX-Pruefung Level 3 (Assessment AL 3) fuer Standorte Stuttgart, Heilbronn, Muenchen, Brno: ISMS nach ISO 27001:2022, Schutzklasse hoch (Prototypenschutz, Datenschutz), Audit durch akkreditiertes Pruefhaus DEKRA. Ziel-Termin SOP: Q2 2025.</w:t>
      </w:r>
    </w:p>
    <w:p>
      <w:pPr>
        <w:pStyle w:val="Heading3"/>
      </w:pPr>
      <w:r>
        <w:t>8. Verbindlichkeitserklaerung und Unterschriften</w:t>
      </w:r>
    </w:p>
    <w:p>
      <w:r>
        <w:t>Ort, Datum: Stuttgart, den —</w:t>
      </w:r>
    </w:p>
    <w:p>
      <w:r>
        <w:t>_________________________            _________________________</w:t>
        <w:br/>
        <w:t>Andreas Buehler (CAE)                          Dr. Petra Hollmann</w:t>
        <w:br/>
        <w:t>Projektleitung / Auftragnehmer                          Sponsor / Auftraggeber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