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Statusbericht Juni 2024 – PRJ-2024-005</w:t>
      </w:r>
    </w:p>
    <w:p>
      <w:pPr>
        <w:jc w:val="center"/>
      </w:pPr>
      <w:r>
        <w:t>Cybersecurity TISAX Level 3 | Projekt-Statusbericht (monatlich)</w:t>
      </w:r>
    </w:p>
    <w:p/>
    <w:p>
      <w:pPr>
        <w:pStyle w:val="Heading3"/>
      </w:pPr>
      <w:r>
        <w:t>1. Projekt-Identifikation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PRJ-2024-005</w:t>
            </w:r>
          </w:p>
        </w:tc>
      </w:tr>
      <w:tr>
        <w:tc>
          <w:tcPr>
            <w:tcW w:type="dxa" w:w="4320"/>
          </w:tcPr>
          <w:p>
            <w:r>
              <w:t>Projekt-Titel</w:t>
            </w:r>
          </w:p>
        </w:tc>
        <w:tc>
          <w:tcPr>
            <w:tcW w:type="dxa" w:w="4320"/>
          </w:tcPr>
          <w:p>
            <w:r>
              <w:t>Cybersecurity TISAX Level 3</w:t>
            </w:r>
          </w:p>
        </w:tc>
      </w:tr>
      <w:tr>
        <w:tc>
          <w:tcPr>
            <w:tcW w:type="dxa" w:w="4320"/>
          </w:tcPr>
          <w:p>
            <w:r>
              <w:t>Produktbezug</w:t>
            </w:r>
          </w:p>
        </w:tc>
        <w:tc>
          <w:tcPr>
            <w:tcW w:type="dxa" w:w="4320"/>
          </w:tcPr>
          <w:p>
            <w:r>
              <w:t>Cybersecurity</w:t>
            </w:r>
          </w:p>
        </w:tc>
      </w:tr>
      <w:tr>
        <w:tc>
          <w:tcPr>
            <w:tcW w:type="dxa" w:w="4320"/>
          </w:tcPr>
          <w:p>
            <w:r>
              <w:t>Hauptkunde / OEM</w:t>
            </w:r>
          </w:p>
        </w:tc>
        <w:tc>
          <w:tcPr>
            <w:tcW w:type="dxa" w:w="4320"/>
          </w:tcPr>
          <w:p>
            <w:r>
              <w:t>intern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Andreas Buehler (CAE)</w:t>
            </w:r>
          </w:p>
        </w:tc>
      </w:tr>
      <w:tr>
        <w:tc>
          <w:tcPr>
            <w:tcW w:type="dxa" w:w="4320"/>
          </w:tcPr>
          <w:p>
            <w:r>
              <w:t>Projekt-Sponsor</w:t>
            </w:r>
          </w:p>
        </w:tc>
        <w:tc>
          <w:tcPr>
            <w:tcW w:type="dxa" w:w="4320"/>
          </w:tcPr>
          <w:p>
            <w:r>
              <w:t>Dr. Petra Hollmann (CTO)</w:t>
            </w:r>
          </w:p>
        </w:tc>
      </w:tr>
      <w:tr>
        <w:tc>
          <w:tcPr>
            <w:tcW w:type="dxa" w:w="4320"/>
          </w:tcPr>
          <w:p>
            <w:r>
              <w:t>Berichtsmonat</w:t>
            </w:r>
          </w:p>
        </w:tc>
        <w:tc>
          <w:tcPr>
            <w:tcW w:type="dxa" w:w="4320"/>
          </w:tcPr>
          <w:p>
            <w:r>
              <w:t>Juni 2024</w:t>
            </w:r>
          </w:p>
        </w:tc>
      </w:tr>
      <w:tr>
        <w:tc>
          <w:tcPr>
            <w:tcW w:type="dxa" w:w="4320"/>
          </w:tcPr>
          <w:p>
            <w:r>
              <w:t>Erstellt am</w:t>
            </w:r>
          </w:p>
        </w:tc>
        <w:tc>
          <w:tcPr>
            <w:tcW w:type="dxa" w:w="4320"/>
          </w:tcPr>
          <w:p>
            <w:r>
              <w:t>05. Juli 2024</w:t>
            </w:r>
          </w:p>
        </w:tc>
      </w:tr>
    </w:tbl>
    <w:p>
      <w:pPr>
        <w:pStyle w:val="Heading3"/>
      </w:pPr>
      <w:r>
        <w:t>2. Status-Ampel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Ampel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Termin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Bezogen auf Gate-Soll-Termine</w:t>
            </w:r>
          </w:p>
        </w:tc>
      </w:tr>
      <w:tr>
        <w:tc>
          <w:tcPr>
            <w:tcW w:type="dxa" w:w="2880"/>
          </w:tcPr>
          <w:p>
            <w:r>
              <w:t>Budget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EAC vs. Genehmigtes Budget</w:t>
            </w:r>
          </w:p>
        </w:tc>
      </w:tr>
      <w:tr>
        <w:tc>
          <w:tcPr>
            <w:tcW w:type="dxa" w:w="2880"/>
          </w:tcPr>
          <w:p>
            <w:r>
              <w:t>Qualitaet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Defects, Test-Coverage, Q-KPIs</w:t>
            </w:r>
          </w:p>
        </w:tc>
      </w:tr>
      <w:tr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Keine offenen Scope-Aenderungen</w:t>
            </w:r>
          </w:p>
        </w:tc>
      </w:tr>
      <w:tr>
        <w:tc>
          <w:tcPr>
            <w:tcW w:type="dxa" w:w="2880"/>
          </w:tcPr>
          <w:p>
            <w:r>
              <w:t>Risiken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Drei Top-Risiken aktiv, Massnahmen wirksam</w:t>
            </w:r>
          </w:p>
        </w:tc>
      </w:tr>
    </w:tbl>
    <w:p>
      <w:pPr>
        <w:pStyle w:val="Heading3"/>
      </w:pPr>
      <w:r>
        <w:t>3. Zusammenfassung</w:t>
      </w:r>
    </w:p>
    <w:p>
      <w:r>
        <w:t>Das Projekt PRJ-2024-005 (Cybersecurity TISAX Level 3) befindet sich im Berichtsmonat Juni 2024 planmaessig in der laufenden Phase. Termin- und Budget-konform; keine kritischen Risiken offen. Der Hauptkunde intern wurde im Rahmen der monatlichen OEM-Steuerung informiert und hat den Berichtsstand zur Kenntnis genommen. Die Lenkungsausschuss-Sitzung des laufenden Monats hat die Massnahmen-Plaene zur Kenntnis genommen und keine Eskalation ausgesprochen.</w:t>
      </w:r>
    </w:p>
    <w:p>
      <w:pPr>
        <w:pStyle w:val="Heading3"/>
      </w:pPr>
      <w:r>
        <w:t>4. Fortschritt im Berichtsmonat</w:t>
      </w:r>
    </w:p>
    <w:p>
      <w:pPr>
        <w:pStyle w:val="ListBullet"/>
      </w:pPr>
      <w:r>
        <w:t>Detaildesign FuSi (ASIL-D) abgeschlossen; Review-Workshop nachgelagert.</w:t>
      </w:r>
    </w:p>
    <w:p>
      <w:pPr>
        <w:pStyle w:val="ListBullet"/>
      </w:pPr>
      <w:r>
        <w:t>RTM-Coverage auf 98 % der DOORS-Anforderungen.</w:t>
      </w:r>
    </w:p>
    <w:p>
      <w:pPr>
        <w:pStyle w:val="ListBullet"/>
      </w:pPr>
      <w:r>
        <w:t>Cyber-Security-Audit (intern, TISAX-Vorbereitung) ohne Major-Findings.</w:t>
      </w:r>
    </w:p>
    <w:p>
      <w:pPr>
        <w:pStyle w:val="ListBullet"/>
      </w:pPr>
      <w:r>
        <w:t>Personalaufbau +2 Engineers (Senior/Mid) erfolgreich.</w:t>
      </w:r>
    </w:p>
    <w:p>
      <w:pPr>
        <w:pStyle w:val="Heading3"/>
      </w:pPr>
      <w:r>
        <w:t>5. Top-3-Risiken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Risiko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Halbleiter-Allocation (Aurix/SoC)</w:t>
            </w:r>
          </w:p>
        </w:tc>
        <w:tc>
          <w:tcPr>
            <w:tcW w:type="dxa" w:w="2160"/>
          </w:tcPr>
          <w:p>
            <w:r>
              <w:t>Hoch</w:t>
            </w:r>
          </w:p>
        </w:tc>
        <w:tc>
          <w:tcPr>
            <w:tcW w:type="dxa" w:w="2160"/>
          </w:tcPr>
          <w:p>
            <w:r>
              <w:t>Strategic-Sourcing Eskalation</w:t>
            </w:r>
          </w:p>
        </w:tc>
        <w:tc>
          <w:tcPr>
            <w:tcW w:type="dxa" w:w="2160"/>
          </w:tcPr>
          <w:p>
            <w:r>
              <w:t>Group Purchasing</w:t>
            </w:r>
          </w:p>
        </w:tc>
      </w:tr>
      <w:tr>
        <w:tc>
          <w:tcPr>
            <w:tcW w:type="dxa" w:w="2160"/>
          </w:tcPr>
          <w:p>
            <w:r>
              <w:t>OEM-Spec-Spaetaenderung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CCB-Steuerung + Change-Control</w:t>
            </w:r>
          </w:p>
        </w:tc>
        <w:tc>
          <w:tcPr>
            <w:tcW w:type="dxa" w:w="2160"/>
          </w:tcPr>
          <w:p>
            <w:r>
              <w:t>PMO</w:t>
            </w:r>
          </w:p>
        </w:tc>
      </w:tr>
      <w:tr>
        <w:tc>
          <w:tcPr>
            <w:tcW w:type="dxa" w:w="2160"/>
          </w:tcPr>
          <w:p>
            <w:r>
              <w:t>Personalverfuegbarkeit Engineering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Capacity-Planning RSG</w:t>
            </w:r>
          </w:p>
        </w:tc>
        <w:tc>
          <w:tcPr>
            <w:tcW w:type="dxa" w:w="2160"/>
          </w:tcPr>
          <w:p>
            <w:r>
              <w:t>RSG Werkleitung</w:t>
            </w:r>
          </w:p>
        </w:tc>
      </w:tr>
    </w:tbl>
    <w:p>
      <w:pPr>
        <w:pStyle w:val="Heading3"/>
      </w:pPr>
      <w:r>
        <w:t>6. Budget-/Termin-Forecast</w:t>
      </w:r>
    </w:p>
    <w:p>
      <w:r>
        <w:t>Der Budget-Forecast (EAC) liegt aktuell innerhalb der vom Vorstand genehmigten Toleranz von 5 %. Die Termin-Verzuege aus den vorausgegangenen Phasen wurden teilweise durch parallelisierte Validierung kompensiert. Der naechste Termin-Update erfolgt im Rahmen der monatlichen Lenkungsausschuss-Sitzung.</w:t>
      </w:r>
    </w:p>
    <w:p>
      <w:pPr>
        <w:pStyle w:val="Heading3"/>
      </w:pPr>
      <w:r>
        <w:t>7. Themen / Plan fuer Folgemonat</w:t>
      </w:r>
    </w:p>
    <w:p>
      <w:pPr>
        <w:pStyle w:val="ListBullet"/>
      </w:pPr>
      <w:r>
        <w:t>Validierungs-Sign-Off</w:t>
      </w:r>
    </w:p>
    <w:p>
      <w:pPr>
        <w:pStyle w:val="ListBullet"/>
      </w:pPr>
      <w:r>
        <w:t>Type-Approval-Antrag KBA</w:t>
      </w:r>
    </w:p>
    <w:p>
      <w:pPr>
        <w:pStyle w:val="ListBullet"/>
      </w:pPr>
      <w:r>
        <w:t>Production Readiness Review</w:t>
      </w:r>
    </w:p>
    <w:p>
      <w:pPr>
        <w:pStyle w:val="ListBullet"/>
      </w:pPr>
      <w:r>
        <w:t>Lessons-Learned-Workshop</w:t>
      </w:r>
    </w:p>
    <w:p>
      <w:pPr>
        <w:pStyle w:val="Heading3"/>
      </w:pPr>
      <w:r>
        <w:t>8. Unterschrift / Freigabe</w:t>
      </w:r>
    </w:p>
    <w:p>
      <w:r>
        <w:t>Ort, Datum: Stuttgart, den 05. Juli 2024</w:t>
      </w:r>
    </w:p>
    <w:p>
      <w:r>
        <w:t>_________________________            _________________________</w:t>
        <w:br/>
        <w:t>Andreas Buehler (CAE)                          Dr. Petra Hollmann</w:t>
        <w:br/>
        <w:t>Projektleitung                          Projekt-Sponsor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