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August 2024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August 2024 planmaessig in der laufenden Phase. Budget-Forecast +3 % – Steuerungsmassnahmen eingeleitet.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September 2024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