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– ICP-3 / VW Programm (ECR 2023-003)</w:t>
      </w:r>
    </w:p>
    <w:p>
      <w:pPr>
        <w:jc w:val="center"/>
      </w:pPr>
      <w:r>
        <w:t>Aenderungsantrag, Stand 14. Maerz 2023</w:t>
      </w:r>
    </w:p>
    <w:p/>
    <w:p>
      <w:pPr>
        <w:pStyle w:val="Heading3"/>
      </w:pPr>
      <w:r>
        <w:t>1. 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ECR-Nr.</w:t>
            </w:r>
          </w:p>
        </w:tc>
        <w:tc>
          <w:tcPr>
            <w:tcW w:type="dxa" w:w="4320"/>
          </w:tcPr>
          <w:p>
            <w:r>
              <w:t>VW-ICP-3-ECR-2023-003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AG, Wolfsburg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 InfoConnect Pro (Infotainment-Modul)</w:t>
            </w:r>
          </w:p>
        </w:tc>
      </w:tr>
      <w:tr>
        <w:tc>
          <w:tcPr>
            <w:tcW w:type="dxa" w:w="4320"/>
          </w:tcPr>
          <w:p>
            <w:r>
              <w:t>Antragsteller (Kunde)</w:t>
            </w:r>
          </w:p>
        </w:tc>
        <w:tc>
          <w:tcPr>
            <w:tcW w:type="dxa" w:w="4320"/>
          </w:tcPr>
          <w:p>
            <w:r>
              <w:t>Stefan Goeb (VW Konzern-Einkauf, K-GIT-E)</w:t>
            </w:r>
          </w:p>
        </w:tc>
      </w:tr>
      <w:tr>
        <w:tc>
          <w:tcPr>
            <w:tcW w:type="dxa" w:w="4320"/>
          </w:tcPr>
          <w:p>
            <w:r>
              <w:t>Bearbeiter REA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14.03.2023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Volkswagen beantragt die Integration einer zusaetzlichen Sprach-Schnittstelle (China-Mandarin) in das ICP-3-Modul fuer die Markt-Variante 'VW China JV'. Die Aenderung betrifft die Sprach-Datenbank (TTS/STT-Engine), die UI-Layer (Right-to-Left nicht erforderlich) sowie die kanonischen Sprach-Befehle des Voice-Assistants.</w:t>
      </w:r>
    </w:p>
    <w:p>
      <w:pPr>
        <w:pStyle w:val="Heading3"/>
      </w:pPr>
      <w:r>
        <w:t>3.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Keine (gleiche Hardware-Bestueckung)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Erweiterung HMI-Layer, +1 Sprach-Pack (ca. 380 MB)</w:t>
            </w:r>
          </w:p>
        </w:tc>
      </w:tr>
      <w:tr>
        <w:tc>
          <w:tcPr>
            <w:tcW w:type="dxa" w:w="4320"/>
          </w:tcPr>
          <w:p>
            <w:r>
              <w:t>Speicher</w:t>
            </w:r>
          </w:p>
        </w:tc>
        <w:tc>
          <w:tcPr>
            <w:tcW w:type="dxa" w:w="4320"/>
          </w:tcPr>
          <w:p>
            <w:r>
              <w:t>+420 MB Flash (innerhalb Reserve)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Re-Test HMI, Voice, Localization (geschaetzt 6 Wochen)</w:t>
            </w:r>
          </w:p>
        </w:tc>
      </w:tr>
      <w:tr>
        <w:tc>
          <w:tcPr>
            <w:tcW w:type="dxa" w:w="4320"/>
          </w:tcPr>
          <w:p>
            <w:r>
              <w:t>Termin</w:t>
            </w:r>
          </w:p>
        </w:tc>
        <w:tc>
          <w:tcPr>
            <w:tcW w:type="dxa" w:w="4320"/>
          </w:tcPr>
          <w:p>
            <w:r>
              <w:t>Verzug +4 Wochen ab Vereinbarung</w:t>
            </w:r>
          </w:p>
        </w:tc>
      </w:tr>
      <w:tr>
        <w:tc>
          <w:tcPr>
            <w:tcW w:type="dxa" w:w="4320"/>
          </w:tcPr>
          <w:p>
            <w:r>
              <w:t>Kosten (einmalig)</w:t>
            </w:r>
          </w:p>
        </w:tc>
        <w:tc>
          <w:tcPr>
            <w:tcW w:type="dxa" w:w="4320"/>
          </w:tcPr>
          <w:p>
            <w:r>
              <w:t>284.000 EUR (Engineering + Test)</w:t>
            </w:r>
          </w:p>
        </w:tc>
      </w:tr>
      <w:tr>
        <w:tc>
          <w:tcPr>
            <w:tcW w:type="dxa" w:w="4320"/>
          </w:tcPr>
          <w:p>
            <w:r>
              <w:t>Stueckkosten-Effekt</w:t>
            </w:r>
          </w:p>
        </w:tc>
        <w:tc>
          <w:tcPr>
            <w:tcW w:type="dxa" w:w="4320"/>
          </w:tcPr>
          <w:p>
            <w:r>
              <w:t>Keine Aenderung</w:t>
            </w:r>
          </w:p>
        </w:tc>
      </w:tr>
    </w:tbl>
    <w:p>
      <w:pPr>
        <w:pStyle w:val="Heading3"/>
      </w:pPr>
      <w:r>
        <w:t>4. Empfehlung</w:t>
      </w:r>
    </w:p>
    <w:p>
      <w:r>
        <w:t>REA empfiehlt die Annahme des ECR unter Voraussetzung der schriftlichen Bestellung der einmaligen Engineering-Kosten und einer entsprechenden Anpassung des Liefertermins. Die Aenderung ist mit Group Quality (Sabine Brand, REG) und Group Legal abgestimmt.</w:t>
      </w:r>
    </w:p>
    <w:p>
      <w:pPr>
        <w:pStyle w:val="Heading3"/>
      </w:pPr>
      <w:r>
        <w:t>5. Freigaben</w:t>
      </w:r>
    </w:p>
    <w:p>
      <w:r>
        <w:t>Ort, Datum: Stuttgart, den 20. Maerz 2023</w:t>
      </w:r>
    </w:p>
    <w:p>
      <w:r>
        <w:t>_________________________            _________________________</w:t>
        <w:br/>
        <w:t>Lars Wittmann                          Stefan Goeb</w:t>
        <w:br/>
        <w:t>Bearbeiter RSG                          Konzern-Einkauf K-GIT-E</w:t>
        <w:br/>
        <w:t>Brennhagen Elektronik AG                       Volkswagen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