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REG 2019 Q4</w:t>
      </w:r>
    </w:p>
    <w:p>
      <w:pPr>
        <w:jc w:val="center"/>
      </w:pPr>
      <w:r>
        <w:t>Brennhagen Elektronik GmbH (REG) – Berichterstattung an Konzern-Controlling</w:t>
      </w:r>
    </w:p>
    <w:p/>
    <w:p>
      <w:pPr>
        <w:pStyle w:val="Heading3"/>
      </w:pPr>
      <w:r>
        <w:t>1. Berichterstatter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Gesellschaft</w:t>
            </w:r>
          </w:p>
        </w:tc>
        <w:tc>
          <w:tcPr>
            <w:tcW w:type="dxa" w:w="4320"/>
          </w:tcPr>
          <w:p>
            <w:r>
              <w:t>Brennhagen Elektronik GmbH (REG), Heilbronn</w:t>
            </w:r>
          </w:p>
        </w:tc>
      </w:tr>
      <w:tr>
        <w:tc>
          <w:tcPr>
            <w:tcW w:type="dxa" w:w="4320"/>
          </w:tcPr>
          <w:p>
            <w:r>
              <w:t>Berichtszeitraum</w:t>
            </w:r>
          </w:p>
        </w:tc>
        <w:tc>
          <w:tcPr>
            <w:tcW w:type="dxa" w:w="4320"/>
          </w:tcPr>
          <w:p>
            <w:r>
              <w:t>01.10.2019 – 31.12.2019</w:t>
            </w:r>
          </w:p>
        </w:tc>
      </w:tr>
      <w:tr>
        <w:tc>
          <w:tcPr>
            <w:tcW w:type="dxa" w:w="4320"/>
          </w:tcPr>
          <w:p>
            <w:r>
              <w:t>Erstellt durch</w:t>
            </w:r>
          </w:p>
        </w:tc>
        <w:tc>
          <w:tcPr>
            <w:tcW w:type="dxa" w:w="4320"/>
          </w:tcPr>
          <w:p>
            <w:r>
              <w:t>Sandra Wertheim (Werks-Controlling REG)</w:t>
            </w:r>
          </w:p>
        </w:tc>
      </w:tr>
      <w:tr>
        <w:tc>
          <w:tcPr>
            <w:tcW w:type="dxa" w:w="4320"/>
          </w:tcPr>
          <w:p>
            <w:r>
              <w:t>Empfaenger</w:t>
            </w:r>
          </w:p>
        </w:tc>
        <w:tc>
          <w:tcPr>
            <w:tcW w:type="dxa" w:w="4320"/>
          </w:tcPr>
          <w:p>
            <w:r>
              <w:t>Konzern-Controlling, Florian Maier (Stuttgart)</w:t>
            </w:r>
          </w:p>
        </w:tc>
      </w:tr>
      <w:tr>
        <w:tc>
          <w:tcPr>
            <w:tcW w:type="dxa" w:w="4320"/>
          </w:tcPr>
          <w:p>
            <w:r>
              <w:t>Erstellungsdatum</w:t>
            </w:r>
          </w:p>
        </w:tc>
        <w:tc>
          <w:tcPr>
            <w:tcW w:type="dxa" w:w="4320"/>
          </w:tcPr>
          <w:p>
            <w:r>
              <w:t>20. Januar 2020</w:t>
            </w:r>
          </w:p>
        </w:tc>
      </w:tr>
    </w:tbl>
    <w:p>
      <w:pPr>
        <w:pStyle w:val="Heading3"/>
      </w:pPr>
      <w:r>
        <w:t>2. Umsatz und Profitabilitaet</w:t>
      </w:r>
    </w:p>
    <w:p>
      <w:r>
        <w:t>Im vierten Quartal 2019 erzielte REG einen Umsatz von 142,3 Mio. EUR (Vorjahr Q4/2018: 134,8 Mio. EUR; +5,6 %). Das EBIT betrug 11,7 Mio. EUR (8,2 % EBIT-Marge), im Vorjahresquartal 10,9 Mio. EUR (8,1 %). Das Jahresergebnis 2019 wird mit ca. 540 Mio. EUR Umsatz und 42 Mio. EUR EBIT abschliessen, was im Rahmen des Budgets 2019 liegt.</w:t>
      </w:r>
    </w:p>
    <w:p>
      <w:pPr>
        <w:pStyle w:val="Heading3"/>
      </w:pPr>
      <w:r>
        <w:t>3. Wesentliche Ereignisse Q4/2019</w:t>
      </w:r>
    </w:p>
    <w:p>
      <w:pPr>
        <w:pStyle w:val="ListBullet"/>
      </w:pPr>
      <w:r>
        <w:t>Anlauf der ECU-900-Gen2-Plattform fuer VW MEB (SOP 11/2019)</w:t>
      </w:r>
    </w:p>
    <w:p>
      <w:pPr>
        <w:pStyle w:val="ListBullet"/>
      </w:pPr>
      <w:r>
        <w:t>Erweiterung der BMS-Linie 2 abgeschlossen (CAPEX 4,1 Mio. EUR)</w:t>
      </w:r>
    </w:p>
    <w:p>
      <w:pPr>
        <w:pStyle w:val="ListBullet"/>
      </w:pPr>
      <w:r>
        <w:t>IATF 16949-Re-Zertifizierung erfolgreich (DEKRA, 17.10.2019)</w:t>
      </w:r>
    </w:p>
    <w:p>
      <w:pPr>
        <w:pStyle w:val="ListBullet"/>
      </w:pPr>
      <w:r>
        <w:t>Personalaufbau 32 FTE (Engineering 18, Produktion 14)</w:t>
      </w:r>
    </w:p>
    <w:p>
      <w:pPr>
        <w:pStyle w:val="ListBullet"/>
      </w:pPr>
      <w:r>
        <w:t>Lieferanten-Audit Continental als Tier-2 erfolgreich</w:t>
      </w:r>
    </w:p>
    <w:p>
      <w:pPr>
        <w:pStyle w:val="Heading3"/>
      </w:pPr>
      <w:r>
        <w:t>4. Intercompany-Salden (Stichtag 31.12.2019)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Konto / Partner</w:t>
            </w:r>
          </w:p>
        </w:tc>
        <w:tc>
          <w:tcPr>
            <w:tcW w:type="dxa" w:w="2880"/>
          </w:tcPr>
          <w:p>
            <w:r>
              <w:t>Saldo (TEUR)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</w:tr>
      <w:tr>
        <w:tc>
          <w:tcPr>
            <w:tcW w:type="dxa" w:w="2880"/>
          </w:tcPr>
          <w:p>
            <w:r>
              <w:t>RHO – Management-Fee (Aufwand)</w:t>
            </w:r>
          </w:p>
        </w:tc>
        <w:tc>
          <w:tcPr>
            <w:tcW w:type="dxa" w:w="2880"/>
          </w:tcPr>
          <w:p>
            <w:r>
              <w:t>1.840</w:t>
            </w:r>
          </w:p>
        </w:tc>
        <w:tc>
          <w:tcPr>
            <w:tcW w:type="dxa" w:w="2880"/>
          </w:tcPr>
          <w:p>
            <w:r>
              <w:t>Quartal Q4</w:t>
            </w:r>
          </w:p>
        </w:tc>
      </w:tr>
      <w:tr>
        <w:tc>
          <w:tcPr>
            <w:tcW w:type="dxa" w:w="2880"/>
          </w:tcPr>
          <w:p>
            <w:r>
              <w:t>RSG – Lizenz-/Engineering (Aufwand)</w:t>
            </w:r>
          </w:p>
        </w:tc>
        <w:tc>
          <w:tcPr>
            <w:tcW w:type="dxa" w:w="2880"/>
          </w:tcPr>
          <w:p>
            <w:r>
              <w:t>2.210</w:t>
            </w:r>
          </w:p>
        </w:tc>
        <w:tc>
          <w:tcPr>
            <w:tcW w:type="dxa" w:w="2880"/>
          </w:tcPr>
          <w:p>
            <w:r>
              <w:t>Software-Bezug</w:t>
            </w:r>
          </w:p>
        </w:tc>
      </w:tr>
      <w:tr>
        <w:tc>
          <w:tcPr>
            <w:tcW w:type="dxa" w:w="2880"/>
          </w:tcPr>
          <w:p>
            <w:r>
              <w:t>RCZ – Steckverbinder (Aufwand)</w:t>
            </w:r>
          </w:p>
        </w:tc>
        <w:tc>
          <w:tcPr>
            <w:tcW w:type="dxa" w:w="2880"/>
          </w:tcPr>
          <w:p>
            <w:r>
              <w:t>3.420</w:t>
            </w:r>
          </w:p>
        </w:tc>
        <w:tc>
          <w:tcPr>
            <w:tcW w:type="dxa" w:w="2880"/>
          </w:tcPr>
          <w:p>
            <w:r>
              <w:t>Materialbezug</w:t>
            </w:r>
          </w:p>
        </w:tc>
      </w:tr>
      <w:tr>
        <w:tc>
          <w:tcPr>
            <w:tcW w:type="dxa" w:w="2880"/>
          </w:tcPr>
          <w:p>
            <w:r>
              <w:t>RPL – EMS-/SMD-Dienstleistung (Aufwand)</w:t>
            </w:r>
          </w:p>
        </w:tc>
        <w:tc>
          <w:tcPr>
            <w:tcW w:type="dxa" w:w="2880"/>
          </w:tcPr>
          <w:p>
            <w:r>
              <w:t>8.940</w:t>
            </w:r>
          </w:p>
        </w:tc>
        <w:tc>
          <w:tcPr>
            <w:tcW w:type="dxa" w:w="2880"/>
          </w:tcPr>
          <w:p>
            <w:r>
              <w:t>Materialbezug</w:t>
            </w:r>
          </w:p>
        </w:tc>
      </w:tr>
      <w:tr>
        <w:tc>
          <w:tcPr>
            <w:tcW w:type="dxa" w:w="2880"/>
          </w:tcPr>
          <w:p>
            <w:r>
              <w:t>RCN – Vertrieb (Erloes)</w:t>
            </w:r>
          </w:p>
        </w:tc>
        <w:tc>
          <w:tcPr>
            <w:tcW w:type="dxa" w:w="2880"/>
          </w:tcPr>
          <w:p>
            <w:r>
              <w:t>1.180</w:t>
            </w:r>
          </w:p>
        </w:tc>
        <w:tc>
          <w:tcPr>
            <w:tcW w:type="dxa" w:w="2880"/>
          </w:tcPr>
          <w:p>
            <w:r>
              <w:t>Provision China</w:t>
            </w:r>
          </w:p>
        </w:tc>
      </w:tr>
    </w:tbl>
    <w:p>
      <w:pPr>
        <w:pStyle w:val="Heading3"/>
      </w:pPr>
      <w:r>
        <w:t>5. Forecast Q1/2020 und Risiken</w:t>
      </w:r>
    </w:p>
    <w:p>
      <w:r>
        <w:t>Fuer Q1/2020 wird ein Umsatz von 138–142 Mio. EUR erwartet. Wesentliche Risiken: Coronavirus-Lieferketten-Stoerung China (im Beobachtungs-Status), Halbleiter-Liefersituation Aurix (Allocation), Currency-Effekte USD/CNY.</w:t>
      </w:r>
    </w:p>
    <w:p>
      <w:pPr>
        <w:pStyle w:val="Heading3"/>
      </w:pPr>
      <w:r>
        <w:t>6. Unterschrift</w:t>
      </w:r>
    </w:p>
    <w:p>
      <w:r>
        <w:t>Ort, Datum: Heilbronn, den 20. Januar 2020</w:t>
      </w:r>
    </w:p>
    <w:p>
      <w:r>
        <w:t>_________________________            _________________________</w:t>
        <w:br/>
        <w:t>Sandra Wertheim                          Florian Maier</w:t>
        <w:br/>
        <w:t>Werks-Controlling REG                          Group Controller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