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REG → RHO August 2020</w:t>
      </w:r>
    </w:p>
    <w:p>
      <w:pPr>
        <w:jc w:val="center"/>
      </w:pPr>
      <w:r>
        <w:t>Rechnungs-Nr. REG-IC-2020-008 | Leistungsperiode 08/2020</w:t>
      </w:r>
    </w:p>
    <w:p/>
    <w:p>
      <w:pPr>
        <w:pStyle w:val="Heading3"/>
      </w:pPr>
      <w:r>
        <w:t>1. Rechnungs-Identifikation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REG-IC-2020-008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31. August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01.08.2020 – 31.08.2020</w:t>
            </w:r>
          </w:p>
        </w:tc>
      </w:tr>
      <w:tr>
        <w:tc>
          <w:tcPr>
            <w:tcW w:type="dxa" w:w="4320"/>
          </w:tcPr>
          <w:p>
            <w:r>
              <w:t>Leistungserbringer (RE-Steller)</w:t>
            </w:r>
          </w:p>
        </w:tc>
        <w:tc>
          <w:tcPr>
            <w:tcW w:type="dxa" w:w="4320"/>
          </w:tcPr>
          <w:p>
            <w:r>
              <w:t>Brennhagen Elektronik GmbH (REG), Heilbronn</w:t>
            </w:r>
          </w:p>
        </w:tc>
      </w:tr>
      <w:tr>
        <w:tc>
          <w:tcPr>
            <w:tcW w:type="dxa" w:w="4320"/>
          </w:tcPr>
          <w:p>
            <w:r>
              <w:t>Rechnungs-Empfaenger</w:t>
            </w:r>
          </w:p>
        </w:tc>
        <w:tc>
          <w:tcPr>
            <w:tcW w:type="dxa" w:w="4320"/>
          </w:tcPr>
          <w:p>
            <w:r>
              <w:t>Brennhagen Holding GmbH (RHO), Stuttgart</w:t>
            </w:r>
          </w:p>
        </w:tc>
      </w:tr>
      <w:tr>
        <w:tc>
          <w:tcPr>
            <w:tcW w:type="dxa" w:w="4320"/>
          </w:tcPr>
          <w:p>
            <w:r>
              <w:t>Faelligkeit (30 Tage netto)</w:t>
            </w:r>
          </w:p>
        </w:tc>
        <w:tc>
          <w:tcPr>
            <w:tcW w:type="dxa" w:w="4320"/>
          </w:tcPr>
          <w:p>
            <w:r>
              <w:t>30. September 2020</w:t>
            </w:r>
          </w:p>
        </w:tc>
      </w:tr>
    </w:tbl>
    <w:p>
      <w:pPr>
        <w:pStyle w:val="Heading3"/>
      </w:pPr>
      <w:r>
        <w:t>2. Leistungs-Positionen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EP (EUR)</w:t>
            </w:r>
          </w:p>
        </w:tc>
        <w:tc>
          <w:tcPr>
            <w:tcW w:type="dxa" w:w="1728"/>
          </w:tcPr>
          <w:p>
            <w:r>
              <w:t>Summe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Auftragsfertigung BMS-12 Charge 2020-08-A</w:t>
            </w:r>
          </w:p>
        </w:tc>
        <w:tc>
          <w:tcPr>
            <w:tcW w:type="dxa" w:w="1728"/>
          </w:tcPr>
          <w:p>
            <w:r>
              <w:t>12.420 St.</w:t>
            </w:r>
          </w:p>
        </w:tc>
        <w:tc>
          <w:tcPr>
            <w:tcW w:type="dxa" w:w="1728"/>
          </w:tcPr>
          <w:p>
            <w:r>
              <w:t>84,50</w:t>
            </w:r>
          </w:p>
        </w:tc>
        <w:tc>
          <w:tcPr>
            <w:tcW w:type="dxa" w:w="1728"/>
          </w:tcPr>
          <w:p>
            <w:r>
              <w:t>1.049.490,00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Vorserien-Bemusterung ECU-900 Gen3 (B-Muster)</w:t>
            </w:r>
          </w:p>
        </w:tc>
        <w:tc>
          <w:tcPr>
            <w:tcW w:type="dxa" w:w="1728"/>
          </w:tcPr>
          <w:p>
            <w:r>
              <w:t>120 St.</w:t>
            </w:r>
          </w:p>
        </w:tc>
        <w:tc>
          <w:tcPr>
            <w:tcW w:type="dxa" w:w="1728"/>
          </w:tcPr>
          <w:p>
            <w:r>
              <w:t>320,00</w:t>
            </w:r>
          </w:p>
        </w:tc>
        <w:tc>
          <w:tcPr>
            <w:tcW w:type="dxa" w:w="1728"/>
          </w:tcPr>
          <w:p>
            <w:r>
              <w:t>38.400,00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EOL-Pruefung Linie 3 (Mehrarbeit)</w:t>
            </w:r>
          </w:p>
        </w:tc>
        <w:tc>
          <w:tcPr>
            <w:tcW w:type="dxa" w:w="1728"/>
          </w:tcPr>
          <w:p>
            <w:r>
              <w:t>180 h</w:t>
            </w:r>
          </w:p>
        </w:tc>
        <w:tc>
          <w:tcPr>
            <w:tcW w:type="dxa" w:w="1728"/>
          </w:tcPr>
          <w:p>
            <w:r>
              <w:t>85,00</w:t>
            </w:r>
          </w:p>
        </w:tc>
        <w:tc>
          <w:tcPr>
            <w:tcW w:type="dxa" w:w="1728"/>
          </w:tcPr>
          <w:p>
            <w:r>
              <w:t>15.300,00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Engineering-Support Customer-Audit BMW</w:t>
            </w:r>
          </w:p>
        </w:tc>
        <w:tc>
          <w:tcPr>
            <w:tcW w:type="dxa" w:w="1728"/>
          </w:tcPr>
          <w:p>
            <w:r>
              <w:t>42 h</w:t>
            </w:r>
          </w:p>
        </w:tc>
        <w:tc>
          <w:tcPr>
            <w:tcW w:type="dxa" w:w="1728"/>
          </w:tcPr>
          <w:p>
            <w:r>
              <w:t>120,00</w:t>
            </w:r>
          </w:p>
        </w:tc>
        <w:tc>
          <w:tcPr>
            <w:tcW w:type="dxa" w:w="1728"/>
          </w:tcPr>
          <w:p>
            <w:r>
              <w:t>5.040,00</w:t>
            </w:r>
          </w:p>
        </w:tc>
      </w:tr>
    </w:tbl>
    <w:p>
      <w:pPr>
        <w:pStyle w:val="Heading3"/>
      </w:pPr>
      <w:r>
        <w:t>3. Rechnungs-Summen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Posten</w:t>
            </w:r>
          </w:p>
        </w:tc>
        <w:tc>
          <w:tcPr>
            <w:tcW w:type="dxa" w:w="4320"/>
          </w:tcPr>
          <w:p>
            <w:r>
              <w:t>Betrag (EUR)</w:t>
            </w:r>
          </w:p>
        </w:tc>
      </w:tr>
      <w:tr>
        <w:tc>
          <w:tcPr>
            <w:tcW w:type="dxa" w:w="4320"/>
          </w:tcPr>
          <w:p>
            <w:r>
              <w:t>Netto-Rechnungssumme</w:t>
            </w:r>
          </w:p>
        </w:tc>
        <w:tc>
          <w:tcPr>
            <w:tcW w:type="dxa" w:w="4320"/>
          </w:tcPr>
          <w:p>
            <w:r>
              <w:t>1.108.230,00</w:t>
            </w:r>
          </w:p>
        </w:tc>
      </w:tr>
      <w:tr>
        <w:tc>
          <w:tcPr>
            <w:tcW w:type="dxa" w:w="4320"/>
          </w:tcPr>
          <w:p>
            <w:r>
              <w:t>Umsatzsteuer 19 %</w:t>
            </w:r>
          </w:p>
        </w:tc>
        <w:tc>
          <w:tcPr>
            <w:tcW w:type="dxa" w:w="4320"/>
          </w:tcPr>
          <w:p>
            <w:r>
              <w:t>210.563,70</w:t>
            </w:r>
          </w:p>
        </w:tc>
      </w:tr>
      <w:tr>
        <w:tc>
          <w:tcPr>
            <w:tcW w:type="dxa" w:w="4320"/>
          </w:tcPr>
          <w:p>
            <w:r>
              <w:t>Brutto-Rechnungssumme</w:t>
            </w:r>
          </w:p>
        </w:tc>
        <w:tc>
          <w:tcPr>
            <w:tcW w:type="dxa" w:w="4320"/>
          </w:tcPr>
          <w:p>
            <w:r>
              <w:t>1.318.793,70</w:t>
            </w:r>
          </w:p>
        </w:tc>
      </w:tr>
    </w:tbl>
    <w:p>
      <w:pPr>
        <w:pStyle w:val="Heading3"/>
      </w:pPr>
      <w:r>
        <w:t>4. Verrechnungspreis-Politik</w:t>
      </w:r>
    </w:p>
    <w:p>
      <w:r>
        <w:t>Die Leistungserbringung erfolgt zu marktueblichen Verrechnungspreisen (Cost-Plus 8 % auf direkte Engineering-Leistungen; Materialbezug marktueblich, Aufschlag 5 % auf Vollkosten). Die Transferpreis-Dokumentation ist im Local File RHO/REG 2020 (siehe TP_LocalFile_REG_2020) abgelegt. Steuer-/Gesellschafts-Rechtliche Wirkung gemaess BMF-Schreiben vom 14.07.2021.</w:t>
      </w:r>
    </w:p>
    <w:p>
      <w:pPr>
        <w:pStyle w:val="Heading3"/>
      </w:pPr>
      <w:r>
        <w:t>5. Bankverbindung REG</w:t>
      </w:r>
    </w:p>
    <w:p>
      <w:r>
        <w:t>Empfaengerbank: Commerzbank AG Heilbronn, IBAN DE12 6204 0000 0123 4567 89, BIC COBADEFFXXX. Verwendungszweck bitte mit Rechnungs-Nr. angeben.</w:t>
      </w:r>
    </w:p>
    <w:p>
      <w:pPr>
        <w:pStyle w:val="Heading3"/>
      </w:pPr>
      <w:r>
        <w:t>6. Unterschrift</w:t>
      </w:r>
    </w:p>
    <w:p>
      <w:r>
        <w:t>Ort, Datum: Heilbronn, den 31. August 2020</w:t>
      </w:r>
    </w:p>
    <w:p>
      <w:r>
        <w:t>_________________________            _________________________</w:t>
        <w:br/>
        <w:t>Andreas Maier                          Florian Maier</w:t>
        <w:br/>
        <w:t>Werkleiter REG                          Group Controller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