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 Level Agreement – Managementdienstleistungen RHO ↔ RCN</w:t>
      </w:r>
    </w:p>
    <w:p>
      <w:pPr>
        <w:jc w:val="center"/>
      </w:pPr>
      <w:r>
        <w:t>Verrechnungspreis-Vertrag RHO / RCN Shanghai, Jahr 2023</w:t>
      </w:r>
    </w:p>
    <w:p/>
    <w:p>
      <w:pPr>
        <w:pStyle w:val="Heading3"/>
      </w:pPr>
      <w:r>
        <w:t>1.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Partei</w:t>
            </w:r>
          </w:p>
        </w:tc>
        <w:tc>
          <w:tcPr>
            <w:tcW w:type="dxa" w:w="2880"/>
          </w:tcPr>
          <w:p>
            <w:r>
              <w:t>Sitz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</w:tr>
      <w:tr>
        <w:tc>
          <w:tcPr>
            <w:tcW w:type="dxa" w:w="2880"/>
          </w:tcPr>
          <w:p>
            <w:r>
              <w:t>Brennhagen Holding GmbH (RHO)</w:t>
            </w:r>
          </w:p>
        </w:tc>
        <w:tc>
          <w:tcPr>
            <w:tcW w:type="dxa" w:w="2880"/>
          </w:tcPr>
          <w:p>
            <w:r>
              <w:t>Stuttgart, DE</w:t>
            </w:r>
          </w:p>
        </w:tc>
        <w:tc>
          <w:tcPr>
            <w:tcW w:type="dxa" w:w="2880"/>
          </w:tcPr>
          <w:p>
            <w:r>
              <w:t>Leistungserbringer</w:t>
            </w:r>
          </w:p>
        </w:tc>
      </w:tr>
      <w:tr>
        <w:tc>
          <w:tcPr>
            <w:tcW w:type="dxa" w:w="2880"/>
          </w:tcPr>
          <w:p>
            <w:r>
              <w:t>Brennhagen (Shanghai) Co. Ltd. (RCN)</w:t>
            </w:r>
          </w:p>
        </w:tc>
        <w:tc>
          <w:tcPr>
            <w:tcW w:type="dxa" w:w="2880"/>
          </w:tcPr>
          <w:p>
            <w:r>
              <w:t>Shanghai, CN</w:t>
            </w:r>
          </w:p>
        </w:tc>
        <w:tc>
          <w:tcPr>
            <w:tcW w:type="dxa" w:w="2880"/>
          </w:tcPr>
          <w:p>
            <w:r>
              <w:t>Leistungsempfaenger</w:t>
            </w:r>
          </w:p>
        </w:tc>
      </w:tr>
    </w:tbl>
    <w:p>
      <w:pPr>
        <w:pStyle w:val="Heading3"/>
      </w:pPr>
      <w:r>
        <w:t>2. Vertragsgegenstand</w:t>
      </w:r>
    </w:p>
    <w:p>
      <w:r>
        <w:t>RHO erbringt fuer RCN folgende konzerninterne Managementdienstleistungen: a) Strategische Steuerung und Reporting; b) Konzern-Treasury (Cash-Pooling, FX-Hedging); c) Konzern-Controlling und Konsolidierung (IFRS); d) Konzern-Compliance und Recht (LkSG, DSGVO/PIPL); e) IT-Infrastruktur (Konzernnetz, SAP-Plattform); f) Konzern-Personalwesen (Talent-Management, Vergueltung Expatriates); g) Konzern-Einkauf (strategische Lieferanten).</w:t>
      </w:r>
    </w:p>
    <w:p>
      <w:pPr>
        <w:pStyle w:val="Heading3"/>
      </w:pPr>
      <w:r>
        <w:t>3. Verguetungs-Modell</w:t>
      </w:r>
    </w:p>
    <w:p>
      <w:r>
        <w:t>Die Verguetung erfolgt nach OECD-Verrechnungspreis-Richtlinien (Kapitel VII) auf Basis Cost-Plus-Methode mit Aufschlag 5 % auf Vollkosten. Die jaehrliche Schluessel-Aufteilung erfolgt nach 'Allocation Key' (50 % Umsatz / 30 % FTE / 20 % EBIT). Fuer 2023 betraegt das budgetierte Volumen 480 TEUR (Vorjahr 420 TEUR).</w:t>
      </w:r>
    </w:p>
    <w:p>
      <w:pPr>
        <w:pStyle w:val="Heading3"/>
      </w:pPr>
      <w:r>
        <w:t>4. Service Level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SLA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</w:tr>
      <w:tr>
        <w:tc>
          <w:tcPr>
            <w:tcW w:type="dxa" w:w="2880"/>
          </w:tcPr>
          <w:p>
            <w:r>
              <w:t>Monats-Reporting</w:t>
            </w:r>
          </w:p>
        </w:tc>
        <w:tc>
          <w:tcPr>
            <w:tcW w:type="dxa" w:w="2880"/>
          </w:tcPr>
          <w:p>
            <w:r>
              <w:t>Versand bis Werktag 8 nach Monatsende</w:t>
            </w:r>
          </w:p>
        </w:tc>
        <w:tc>
          <w:tcPr>
            <w:tcW w:type="dxa" w:w="2880"/>
          </w:tcPr>
          <w:p>
            <w:r>
              <w:t>monatlich</w:t>
            </w:r>
          </w:p>
        </w:tc>
      </w:tr>
      <w:tr>
        <w:tc>
          <w:tcPr>
            <w:tcW w:type="dxa" w:w="2880"/>
          </w:tcPr>
          <w:p>
            <w:r>
              <w:t>Quartals-Konsolidierung</w:t>
            </w:r>
          </w:p>
        </w:tc>
        <w:tc>
          <w:tcPr>
            <w:tcW w:type="dxa" w:w="2880"/>
          </w:tcPr>
          <w:p>
            <w:r>
              <w:t>Versand bis Werktag 15 nach Q-Ende</w:t>
            </w:r>
          </w:p>
        </w:tc>
        <w:tc>
          <w:tcPr>
            <w:tcW w:type="dxa" w:w="2880"/>
          </w:tcPr>
          <w:p>
            <w:r>
              <w:t>quartalsweise</w:t>
            </w:r>
          </w:p>
        </w:tc>
      </w:tr>
      <w:tr>
        <w:tc>
          <w:tcPr>
            <w:tcW w:type="dxa" w:w="2880"/>
          </w:tcPr>
          <w:p>
            <w:r>
              <w:t>IT-Helpdesk</w:t>
            </w:r>
          </w:p>
        </w:tc>
        <w:tc>
          <w:tcPr>
            <w:tcW w:type="dxa" w:w="2880"/>
          </w:tcPr>
          <w:p>
            <w:r>
              <w:t>Reaktion &lt; 4 h Bueroaktivitaet</w:t>
            </w:r>
          </w:p>
        </w:tc>
        <w:tc>
          <w:tcPr>
            <w:tcW w:type="dxa" w:w="2880"/>
          </w:tcPr>
          <w:p>
            <w:r>
              <w:t>monatlich KPI</w:t>
            </w:r>
          </w:p>
        </w:tc>
      </w:tr>
      <w:tr>
        <w:tc>
          <w:tcPr>
            <w:tcW w:type="dxa" w:w="2880"/>
          </w:tcPr>
          <w:p>
            <w:r>
              <w:t>Treasury Cash-Forecast</w:t>
            </w:r>
          </w:p>
        </w:tc>
        <w:tc>
          <w:tcPr>
            <w:tcW w:type="dxa" w:w="2880"/>
          </w:tcPr>
          <w:p>
            <w:r>
              <w:t>wochentlich Mittwoch 12:00 CET</w:t>
            </w:r>
          </w:p>
        </w:tc>
        <w:tc>
          <w:tcPr>
            <w:tcW w:type="dxa" w:w="2880"/>
          </w:tcPr>
          <w:p>
            <w:r>
              <w:t>wochentlich</w:t>
            </w:r>
          </w:p>
        </w:tc>
      </w:tr>
      <w:tr>
        <w:tc>
          <w:tcPr>
            <w:tcW w:type="dxa" w:w="2880"/>
          </w:tcPr>
          <w:p>
            <w:r>
              <w:t>Compliance-Anfragen</w:t>
            </w:r>
          </w:p>
        </w:tc>
        <w:tc>
          <w:tcPr>
            <w:tcW w:type="dxa" w:w="2880"/>
          </w:tcPr>
          <w:p>
            <w:r>
              <w:t>Beantwortung &lt; 5 Werktage</w:t>
            </w:r>
          </w:p>
        </w:tc>
        <w:tc>
          <w:tcPr>
            <w:tcW w:type="dxa" w:w="2880"/>
          </w:tcPr>
          <w:p>
            <w:r>
              <w:t>auf Anfrage</w:t>
            </w:r>
          </w:p>
        </w:tc>
      </w:tr>
    </w:tbl>
    <w:p>
      <w:pPr>
        <w:pStyle w:val="Heading3"/>
      </w:pPr>
      <w:r>
        <w:t>5. Laufzeit</w:t>
      </w:r>
    </w:p>
    <w:p>
      <w:r>
        <w:t>Der Vertrag laeuft vom 01.01.2023 bis 31.12.2023 und verlaengert sich automatisch um jeweils ein Jahr, sofern nicht 3 Monate vor Ablauf schriftlich gekuendigt. Aenderungen erfolgen ueber Vertragszusatz, der von beiden Geschaeftsfuehrungen zu unterzeichnen ist.</w:t>
      </w:r>
    </w:p>
    <w:p>
      <w:pPr>
        <w:pStyle w:val="Heading3"/>
      </w:pPr>
      <w:r>
        <w:t>6. TP-Dokumentation</w:t>
      </w:r>
    </w:p>
    <w:p>
      <w:r>
        <w:t>Diese Vereinbarung ist Bestandteil des Transfer-Pricing-Local-Files RHO Stuttgart und RCN Shanghai (Stand 2023). Die Cost-Allokation wird durch die Group-Tax-Direktion (Dr. Heike Berger) jaehrlich gepruepft und durch den Konzern-Abschlusspruefer (KPMG) im Rahmen der Jahresabschlusspruefung validiert.</w:t>
      </w:r>
    </w:p>
    <w:p>
      <w:pPr>
        <w:pStyle w:val="Heading3"/>
      </w:pPr>
      <w:r>
        <w:t>7. Unterschriften</w:t>
      </w:r>
    </w:p>
    <w:p>
      <w:r>
        <w:t>Ort, Datum: Stuttgart / Shanghai, den 15. Januar 2023</w:t>
      </w:r>
    </w:p>
    <w:p>
      <w:r>
        <w:t>_________________________            _________________________</w:t>
        <w:br/>
        <w:t>Anna Mueller                          Zhang Hao</w:t>
        <w:br/>
        <w:t>Geschaeftsfuehrung RHO                          Country Manager RCN</w:t>
        <w:br/>
        <w:t>Brennhagen Holding GmbH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