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C2C51" w14:textId="77777777" w:rsidR="00182EA7" w:rsidRPr="00182EA7" w:rsidRDefault="00182EA7">
      <w:pPr>
        <w:rPr>
          <w:color w:val="595959" w:themeColor="text1" w:themeTint="A6"/>
        </w:rPr>
      </w:pPr>
    </w:p>
    <w:p w14:paraId="3CCD38E5" w14:textId="77777777" w:rsidR="00182EA7" w:rsidRP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0" w:line="240" w:lineRule="auto"/>
        <w:rPr>
          <w:rFonts w:ascii="Helvetica" w:hAnsi="Helvetica" w:cs="Helvetica"/>
          <w:b/>
          <w:bCs/>
          <w:color w:val="595959" w:themeColor="text1" w:themeTint="A6"/>
          <w:kern w:val="0"/>
          <w:sz w:val="28"/>
          <w:szCs w:val="28"/>
        </w:rPr>
      </w:pPr>
      <w:r w:rsidRPr="00182EA7">
        <w:rPr>
          <w:rFonts w:ascii="Helvetica" w:hAnsi="Helvetica" w:cs="Helvetica"/>
          <w:b/>
          <w:bCs/>
          <w:color w:val="595959" w:themeColor="text1" w:themeTint="A6"/>
          <w:kern w:val="0"/>
          <w:sz w:val="28"/>
          <w:szCs w:val="28"/>
        </w:rPr>
        <w:t>How to build pro-worker Al</w:t>
      </w:r>
    </w:p>
    <w:p w14:paraId="007C3912" w14:textId="293E658B" w:rsidR="00182EA7" w:rsidRP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0" w:line="240" w:lineRule="auto"/>
        <w:rPr>
          <w:rFonts w:ascii="Helvetica" w:hAnsi="Helvetica" w:cs="Helvetica"/>
          <w:color w:val="595959" w:themeColor="text1" w:themeTint="A6"/>
          <w:kern w:val="0"/>
        </w:rPr>
      </w:pPr>
      <w:r w:rsidRPr="00182EA7">
        <w:rPr>
          <w:rFonts w:ascii="MS Gothic" w:eastAsia="MS Gothic" w:hAnsi="MS Gothic" w:cs="MS Gothic" w:hint="eastAsia"/>
          <w:color w:val="595959" w:themeColor="text1" w:themeTint="A6"/>
          <w:kern w:val="0"/>
        </w:rPr>
        <w:t>皿</w:t>
      </w:r>
      <w:r w:rsidRPr="00182EA7">
        <w:rPr>
          <w:rFonts w:ascii="Helvetica" w:hAnsi="Helvetica" w:cs="Helvetica"/>
          <w:color w:val="595959" w:themeColor="text1" w:themeTint="A6"/>
          <w:kern w:val="0"/>
        </w:rPr>
        <w:t xml:space="preserve"> </w:t>
      </w:r>
      <w:r w:rsidRPr="00182EA7">
        <w:rPr>
          <w:rFonts w:ascii="Helvetica" w:hAnsi="Helvetica" w:cs="Helvetica"/>
          <w:color w:val="595959" w:themeColor="text1" w:themeTint="A6"/>
          <w:kern w:val="0"/>
        </w:rPr>
        <w:t>MIT Sloan School of Management</w:t>
      </w:r>
    </w:p>
    <w:p w14:paraId="546A9C87" w14:textId="77777777" w:rsidR="00182EA7" w:rsidRDefault="00182EA7" w:rsidP="00182EA7">
      <w:pPr>
        <w:pBdr>
          <w:bottom w:val="sing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0" w:line="240" w:lineRule="auto"/>
        <w:rPr>
          <w:rFonts w:ascii="Helvetica" w:hAnsi="Helvetica" w:cs="Helvetica"/>
          <w:color w:val="595959" w:themeColor="text1" w:themeTint="A6"/>
          <w:kern w:val="0"/>
        </w:rPr>
      </w:pPr>
      <w:r w:rsidRPr="00182EA7">
        <w:rPr>
          <w:rFonts w:ascii="Helvetica" w:hAnsi="Helvetica" w:cs="Helvetica"/>
          <w:color w:val="595959" w:themeColor="text1" w:themeTint="A6"/>
          <w:kern w:val="0"/>
        </w:rPr>
        <w:t>February 18, 2026</w:t>
      </w:r>
    </w:p>
    <w:p w14:paraId="5AA2C525" w14:textId="7E4723FC" w:rsidR="0012693B" w:rsidRDefault="0012693B" w:rsidP="00182EA7">
      <w:pPr>
        <w:pBdr>
          <w:bottom w:val="sing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0" w:line="240" w:lineRule="auto"/>
        <w:rPr>
          <w:rFonts w:ascii="Helvetica" w:hAnsi="Helvetica" w:cs="Helvetica"/>
          <w:color w:val="595959" w:themeColor="text1" w:themeTint="A6"/>
          <w:kern w:val="0"/>
        </w:rPr>
      </w:pPr>
      <w:hyperlink r:id="rId5" w:history="1">
        <w:r w:rsidRPr="00BB434E">
          <w:rPr>
            <w:rStyle w:val="Hyperlink"/>
            <w:rFonts w:ascii="Helvetica" w:hAnsi="Helvetica" w:cs="Helvetica"/>
            <w:color w:val="7CACBA" w:themeColor="hyperlink" w:themeTint="A6"/>
            <w:kern w:val="0"/>
          </w:rPr>
          <w:t>https://mitsloan.mit.e</w:t>
        </w:r>
        <w:r w:rsidRPr="00BB434E">
          <w:rPr>
            <w:rStyle w:val="Hyperlink"/>
            <w:rFonts w:ascii="Helvetica" w:hAnsi="Helvetica" w:cs="Helvetica"/>
            <w:color w:val="7CACBA" w:themeColor="hyperlink" w:themeTint="A6"/>
            <w:kern w:val="0"/>
          </w:rPr>
          <w:t>d</w:t>
        </w:r>
        <w:r w:rsidRPr="00BB434E">
          <w:rPr>
            <w:rStyle w:val="Hyperlink"/>
            <w:rFonts w:ascii="Helvetica" w:hAnsi="Helvetica" w:cs="Helvetica"/>
            <w:color w:val="7CACBA" w:themeColor="hyperlink" w:themeTint="A6"/>
            <w:kern w:val="0"/>
          </w:rPr>
          <w:t>u/ideas-made-to-matter/pro-worker-ai-doesnt-just-happen-companies-need-to-act</w:t>
        </w:r>
      </w:hyperlink>
    </w:p>
    <w:p w14:paraId="6EF9EDE6" w14:textId="77777777" w:rsidR="0012693B" w:rsidRPr="00182EA7" w:rsidRDefault="0012693B" w:rsidP="00182EA7">
      <w:pPr>
        <w:pBdr>
          <w:bottom w:val="sing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0" w:line="240" w:lineRule="auto"/>
        <w:rPr>
          <w:rFonts w:ascii="Helvetica" w:hAnsi="Helvetica" w:cs="Helvetica"/>
          <w:color w:val="595959" w:themeColor="text1" w:themeTint="A6"/>
          <w:kern w:val="0"/>
        </w:rPr>
      </w:pPr>
    </w:p>
    <w:p w14:paraId="61E38D55"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rPr>
      </w:pPr>
    </w:p>
    <w:p w14:paraId="4EF32693"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rPr>
      </w:pPr>
    </w:p>
    <w:p w14:paraId="3F3F58F5" w14:textId="71B1D988" w:rsidR="00182EA7" w:rsidRP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rPr>
      </w:pPr>
      <w:r w:rsidRPr="00182EA7">
        <w:rPr>
          <w:rFonts w:ascii="Helvetica" w:hAnsi="Helvetica" w:cs="Helvetica"/>
          <w:b/>
          <w:bCs/>
          <w:kern w:val="0"/>
        </w:rPr>
        <w:t>THREE INSIGHTS FOR THE WEEK</w:t>
      </w:r>
    </w:p>
    <w:p w14:paraId="7C447A14" w14:textId="092408F9"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sidRPr="00182EA7">
        <w:rPr>
          <w:rFonts w:ascii="Helvetica" w:hAnsi="Helvetica" w:cs="Helvetica"/>
          <w:b/>
          <w:bCs/>
          <w:kern w:val="0"/>
        </w:rPr>
        <w:t xml:space="preserve">Pro-worker artificial intelligence </w:t>
      </w:r>
      <w:r>
        <w:rPr>
          <w:rFonts w:ascii="Helvetica" w:hAnsi="Helvetica" w:cs="Helvetica"/>
          <w:kern w:val="0"/>
        </w:rPr>
        <w:t>promises to expand human capabilities rather than narrow them - by enabling an electrician, for example, to spot edge-case failures, surface insights from thousands of past jobs, and guide troubleshooting in real time.</w:t>
      </w:r>
    </w:p>
    <w:p w14:paraId="6A0C519E"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Speaking at the launch of the MIT Stone Center on Inequality and Shaping the Future of Work, MIT economist Daron Acemoglu said that similar possibilities exist in a variety of industries - plumbing, nursing, education, and other areas in which expertise depends on judgment and real-world context.</w:t>
      </w:r>
    </w:p>
    <w:p w14:paraId="75A3FA14"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But these systems will not emerge automatically, Acemoglu said. Pro-worker Al requires deliberate design and policy intervention.</w:t>
      </w:r>
    </w:p>
    <w:p w14:paraId="2EBDCFBF"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Acemoglu and incoming MIT Sloan assistant professor Zana Buçinca offered strategies that leaders can employ to build pro-worker Al in their organizations.</w:t>
      </w:r>
    </w:p>
    <w:p w14:paraId="615E8102"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42D79D3E" w14:textId="14718095" w:rsidR="00182EA7" w:rsidRP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color w:val="C00000"/>
          <w:kern w:val="0"/>
        </w:rPr>
      </w:pPr>
      <w:r w:rsidRPr="00182EA7">
        <w:rPr>
          <w:rFonts w:ascii="Helvetica" w:hAnsi="Helvetica" w:cs="Helvetica"/>
          <w:b/>
          <w:bCs/>
          <w:color w:val="C00000"/>
          <w:kern w:val="0"/>
        </w:rPr>
        <w:t>Among their advice:</w:t>
      </w:r>
    </w:p>
    <w:p w14:paraId="5E9B0E31" w14:textId="77777777" w:rsidR="00182EA7" w:rsidRP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color w:val="C00000"/>
          <w:kern w:val="0"/>
        </w:rPr>
      </w:pPr>
    </w:p>
    <w:p w14:paraId="64B8189B" w14:textId="77777777" w:rsidR="00182EA7" w:rsidRPr="00182EA7" w:rsidRDefault="00182EA7" w:rsidP="00182EA7">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C00000"/>
          <w:kern w:val="0"/>
        </w:rPr>
      </w:pPr>
      <w:r w:rsidRPr="00182EA7">
        <w:rPr>
          <w:rFonts w:ascii="Calibri" w:hAnsi="Calibri" w:cs="Calibri"/>
          <w:color w:val="C00000"/>
          <w:kern w:val="0"/>
        </w:rPr>
        <w:t>﻿﻿</w:t>
      </w:r>
      <w:r w:rsidRPr="00182EA7">
        <w:rPr>
          <w:rFonts w:ascii="Helvetica" w:hAnsi="Helvetica" w:cs="Helvetica"/>
          <w:color w:val="C00000"/>
          <w:kern w:val="0"/>
        </w:rPr>
        <w:t xml:space="preserve">Build domain-specific, reliable Al systems. Pro-worker Al relies on task-level knowledge, dependable performance, and architectures aligned with how experts </w:t>
      </w:r>
      <w:proofErr w:type="gramStart"/>
      <w:r w:rsidRPr="00182EA7">
        <w:rPr>
          <w:rFonts w:ascii="Helvetica" w:hAnsi="Helvetica" w:cs="Helvetica"/>
          <w:color w:val="C00000"/>
          <w:kern w:val="0"/>
        </w:rPr>
        <w:t>actually work</w:t>
      </w:r>
      <w:proofErr w:type="gramEnd"/>
      <w:r w:rsidRPr="00182EA7">
        <w:rPr>
          <w:rFonts w:ascii="Helvetica" w:hAnsi="Helvetica" w:cs="Helvetica"/>
          <w:color w:val="C00000"/>
          <w:kern w:val="0"/>
        </w:rPr>
        <w:t>.</w:t>
      </w:r>
    </w:p>
    <w:p w14:paraId="28A6643C" w14:textId="77777777" w:rsidR="00182EA7" w:rsidRP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C00000"/>
          <w:kern w:val="0"/>
        </w:rPr>
      </w:pPr>
    </w:p>
    <w:p w14:paraId="0594DE49" w14:textId="77777777" w:rsidR="00182EA7" w:rsidRPr="00182EA7" w:rsidRDefault="00182EA7" w:rsidP="00182EA7">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C00000"/>
          <w:kern w:val="0"/>
        </w:rPr>
      </w:pPr>
      <w:r w:rsidRPr="00182EA7">
        <w:rPr>
          <w:rFonts w:ascii="Calibri" w:hAnsi="Calibri" w:cs="Calibri"/>
          <w:color w:val="C00000"/>
          <w:kern w:val="0"/>
        </w:rPr>
        <w:t>﻿﻿</w:t>
      </w:r>
      <w:r w:rsidRPr="00182EA7">
        <w:rPr>
          <w:rFonts w:ascii="Helvetica" w:hAnsi="Helvetica" w:cs="Helvetica"/>
          <w:color w:val="C00000"/>
          <w:kern w:val="0"/>
        </w:rPr>
        <w:t>Design Al that supports skill development. Domain-specific explanations and learning-aware design can help workers improve their capabilities over time.</w:t>
      </w:r>
    </w:p>
    <w:p w14:paraId="0CB67211" w14:textId="77777777" w:rsidR="00182EA7" w:rsidRP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C00000"/>
          <w:kern w:val="0"/>
        </w:rPr>
      </w:pPr>
    </w:p>
    <w:p w14:paraId="202C1BAB" w14:textId="77777777" w:rsidR="00182EA7" w:rsidRPr="00182EA7" w:rsidRDefault="00182EA7" w:rsidP="00182EA7">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C00000"/>
          <w:kern w:val="0"/>
        </w:rPr>
      </w:pPr>
      <w:r w:rsidRPr="00182EA7">
        <w:rPr>
          <w:rFonts w:ascii="Calibri" w:hAnsi="Calibri" w:cs="Calibri"/>
          <w:color w:val="C00000"/>
          <w:kern w:val="0"/>
        </w:rPr>
        <w:t>﻿﻿</w:t>
      </w:r>
      <w:r w:rsidRPr="00182EA7">
        <w:rPr>
          <w:rFonts w:ascii="Helvetica" w:hAnsi="Helvetica" w:cs="Helvetica"/>
          <w:color w:val="C00000"/>
          <w:kern w:val="0"/>
        </w:rPr>
        <w:t xml:space="preserve">Use interaction techniques to reduce blind reliance on Al. Cognitive-forcing functions, friction, and staged support can prevent overreliance on Al, </w:t>
      </w:r>
      <w:proofErr w:type="spellStart"/>
      <w:r w:rsidRPr="00182EA7">
        <w:rPr>
          <w:rFonts w:ascii="Helvetica" w:hAnsi="Helvetica" w:cs="Helvetica"/>
          <w:color w:val="C00000"/>
          <w:kern w:val="0"/>
        </w:rPr>
        <w:t>Buçinca</w:t>
      </w:r>
      <w:proofErr w:type="spellEnd"/>
      <w:r w:rsidRPr="00182EA7">
        <w:rPr>
          <w:rFonts w:ascii="Helvetica" w:hAnsi="Helvetica" w:cs="Helvetica"/>
          <w:color w:val="C00000"/>
          <w:kern w:val="0"/>
        </w:rPr>
        <w:t xml:space="preserve"> said. </w:t>
      </w:r>
    </w:p>
    <w:p w14:paraId="3B20402E" w14:textId="61088D93" w:rsidR="00182EA7" w:rsidRPr="00182EA7" w:rsidRDefault="00182EA7" w:rsidP="00182EA7">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C00000"/>
          <w:kern w:val="0"/>
        </w:rPr>
      </w:pPr>
      <w:r w:rsidRPr="00182EA7">
        <w:rPr>
          <w:rFonts w:ascii="Helvetica" w:hAnsi="Helvetica" w:cs="Helvetica"/>
          <w:color w:val="C00000"/>
          <w:kern w:val="0"/>
        </w:rPr>
        <w:t>For example, users could be prompted to form an initial hypothesis before seeing an Al recommendation.</w:t>
      </w:r>
    </w:p>
    <w:p w14:paraId="667FD2C0"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5F4AFE40"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Pro-worker Al doesn't just happen.</w:t>
      </w:r>
    </w:p>
    <w:p w14:paraId="5B08B969"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Companies need to act | MIT Sloan</w:t>
      </w:r>
    </w:p>
    <w:p w14:paraId="78BDDB04"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Imagine an electrician equipped with an artificial intelligence tool that can spot edge-case failures, surface insights from thousands of past jobs, and </w:t>
      </w:r>
      <w:proofErr w:type="spellStart"/>
      <w:r>
        <w:rPr>
          <w:rFonts w:ascii="Helvetica" w:hAnsi="Helvetica" w:cs="Helvetica"/>
          <w:kern w:val="0"/>
        </w:rPr>
        <w:t>guid</w:t>
      </w:r>
      <w:proofErr w:type="spellEnd"/>
      <w:r>
        <w:rPr>
          <w:rFonts w:ascii="Helvetica" w:hAnsi="Helvetica" w:cs="Helvetica"/>
          <w:kern w:val="0"/>
        </w:rPr>
        <w:t>...</w:t>
      </w:r>
    </w:p>
    <w:p w14:paraId="26881B8B"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MIT Sloan</w:t>
      </w:r>
    </w:p>
    <w:p w14:paraId="4E957D56"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2. As generative Al is increasingly embedded into day-to-day workflows across organizations, many leaders hope these tools will spark higher levels of creativity, enabling employees to generate more novel and useful ideas.</w:t>
      </w:r>
    </w:p>
    <w:p w14:paraId="57F61DEA"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Yet the creative payoff has been surprisingly inconsistent: In a recent Gallup survey, only 26% of employees who were using generative Al reported improvements in their creativity.</w:t>
      </w:r>
    </w:p>
    <w:p w14:paraId="17E67366"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Writing in Harvard Business Review, MIT Sloan associate professor Jackson Lu and co-authors examine why Al boosts creativity for some employees but not others.</w:t>
      </w:r>
    </w:p>
    <w:p w14:paraId="7EE5DE47"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The researchers found that Al boosts creativity primarily for employees with strong metacognition - that is, the ability to plan, monitor, and refine thinking.</w:t>
      </w:r>
    </w:p>
    <w:p w14:paraId="538D3BE8" w14:textId="77777777" w:rsidR="00182EA7" w:rsidRDefault="00182EA7" w:rsidP="00182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These individuals strategically use Al to expand their knowledge, free their cognitive capacity, and break fixed mindsets, thereby fueling creative ideas.</w:t>
      </w:r>
    </w:p>
    <w:p w14:paraId="6D1AA7A7" w14:textId="6C4025B2" w:rsidR="00182EA7" w:rsidRDefault="00182EA7" w:rsidP="00182EA7">
      <w:r>
        <w:rPr>
          <w:rFonts w:ascii="Helvetica" w:hAnsi="Helvetica" w:cs="Helvetica"/>
          <w:kern w:val="0"/>
        </w:rPr>
        <w:t>That means organizations must go beyond simply rolling out new tools. "By pairing Al deployment with deliberate support for metacognitive thinking, organizations can unlock deeper insights, accelerate innovation, and ensure that employees drive the tool rather than letting the tool drive them," the authors</w:t>
      </w:r>
    </w:p>
    <w:sectPr w:rsidR="00182E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79860D4"/>
    <w:multiLevelType w:val="hybridMultilevel"/>
    <w:tmpl w:val="E3FCB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883472">
    <w:abstractNumId w:val="0"/>
  </w:num>
  <w:num w:numId="2" w16cid:durableId="813527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A7"/>
    <w:rsid w:val="0012693B"/>
    <w:rsid w:val="00182EA7"/>
    <w:rsid w:val="005B6969"/>
    <w:rsid w:val="009D4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C668EE"/>
  <w15:chartTrackingRefBased/>
  <w15:docId w15:val="{6556D6B2-936A-0E41-AB5E-FE8F6C7AC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EA7"/>
    <w:rPr>
      <w:rFonts w:eastAsiaTheme="majorEastAsia" w:cstheme="majorBidi"/>
      <w:color w:val="272727" w:themeColor="text1" w:themeTint="D8"/>
    </w:rPr>
  </w:style>
  <w:style w:type="paragraph" w:styleId="Title">
    <w:name w:val="Title"/>
    <w:basedOn w:val="Normal"/>
    <w:next w:val="Normal"/>
    <w:link w:val="TitleChar"/>
    <w:uiPriority w:val="10"/>
    <w:qFormat/>
    <w:rsid w:val="00182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EA7"/>
    <w:pPr>
      <w:spacing w:before="160"/>
      <w:jc w:val="center"/>
    </w:pPr>
    <w:rPr>
      <w:i/>
      <w:iCs/>
      <w:color w:val="404040" w:themeColor="text1" w:themeTint="BF"/>
    </w:rPr>
  </w:style>
  <w:style w:type="character" w:customStyle="1" w:styleId="QuoteChar">
    <w:name w:val="Quote Char"/>
    <w:basedOn w:val="DefaultParagraphFont"/>
    <w:link w:val="Quote"/>
    <w:uiPriority w:val="29"/>
    <w:rsid w:val="00182EA7"/>
    <w:rPr>
      <w:i/>
      <w:iCs/>
      <w:color w:val="404040" w:themeColor="text1" w:themeTint="BF"/>
    </w:rPr>
  </w:style>
  <w:style w:type="paragraph" w:styleId="ListParagraph">
    <w:name w:val="List Paragraph"/>
    <w:basedOn w:val="Normal"/>
    <w:uiPriority w:val="34"/>
    <w:qFormat/>
    <w:rsid w:val="00182EA7"/>
    <w:pPr>
      <w:ind w:left="720"/>
      <w:contextualSpacing/>
    </w:pPr>
  </w:style>
  <w:style w:type="character" w:styleId="IntenseEmphasis">
    <w:name w:val="Intense Emphasis"/>
    <w:basedOn w:val="DefaultParagraphFont"/>
    <w:uiPriority w:val="21"/>
    <w:qFormat/>
    <w:rsid w:val="00182EA7"/>
    <w:rPr>
      <w:i/>
      <w:iCs/>
      <w:color w:val="0F4761" w:themeColor="accent1" w:themeShade="BF"/>
    </w:rPr>
  </w:style>
  <w:style w:type="paragraph" w:styleId="IntenseQuote">
    <w:name w:val="Intense Quote"/>
    <w:basedOn w:val="Normal"/>
    <w:next w:val="Normal"/>
    <w:link w:val="IntenseQuoteChar"/>
    <w:uiPriority w:val="30"/>
    <w:qFormat/>
    <w:rsid w:val="00182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EA7"/>
    <w:rPr>
      <w:i/>
      <w:iCs/>
      <w:color w:val="0F4761" w:themeColor="accent1" w:themeShade="BF"/>
    </w:rPr>
  </w:style>
  <w:style w:type="character" w:styleId="IntenseReference">
    <w:name w:val="Intense Reference"/>
    <w:basedOn w:val="DefaultParagraphFont"/>
    <w:uiPriority w:val="32"/>
    <w:qFormat/>
    <w:rsid w:val="00182EA7"/>
    <w:rPr>
      <w:b/>
      <w:bCs/>
      <w:smallCaps/>
      <w:color w:val="0F4761" w:themeColor="accent1" w:themeShade="BF"/>
      <w:spacing w:val="5"/>
    </w:rPr>
  </w:style>
  <w:style w:type="character" w:styleId="Hyperlink">
    <w:name w:val="Hyperlink"/>
    <w:basedOn w:val="DefaultParagraphFont"/>
    <w:uiPriority w:val="99"/>
    <w:unhideWhenUsed/>
    <w:rsid w:val="0012693B"/>
    <w:rPr>
      <w:color w:val="467886" w:themeColor="hyperlink"/>
      <w:u w:val="single"/>
    </w:rPr>
  </w:style>
  <w:style w:type="character" w:styleId="UnresolvedMention">
    <w:name w:val="Unresolved Mention"/>
    <w:basedOn w:val="DefaultParagraphFont"/>
    <w:uiPriority w:val="99"/>
    <w:semiHidden/>
    <w:unhideWhenUsed/>
    <w:rsid w:val="0012693B"/>
    <w:rPr>
      <w:color w:val="605E5C"/>
      <w:shd w:val="clear" w:color="auto" w:fill="E1DFDD"/>
    </w:rPr>
  </w:style>
  <w:style w:type="character" w:styleId="FollowedHyperlink">
    <w:name w:val="FollowedHyperlink"/>
    <w:basedOn w:val="DefaultParagraphFont"/>
    <w:uiPriority w:val="99"/>
    <w:semiHidden/>
    <w:unhideWhenUsed/>
    <w:rsid w:val="001269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tsloan.mit.edu/ideas-made-to-matter/pro-worker-ai-doesnt-just-happen-companies-need-to-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469</Words>
  <Characters>2744</Characters>
  <Application>Microsoft Office Word</Application>
  <DocSecurity>0</DocSecurity>
  <Lines>53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a</dc:creator>
  <cp:keywords/>
  <dc:description/>
  <cp:lastModifiedBy>tony a</cp:lastModifiedBy>
  <cp:revision>2</cp:revision>
  <dcterms:created xsi:type="dcterms:W3CDTF">2026-02-18T17:18:00Z</dcterms:created>
  <dcterms:modified xsi:type="dcterms:W3CDTF">2026-02-18T18:44:00Z</dcterms:modified>
</cp:coreProperties>
</file>