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天主教、基督教、东正教、犹太教、伊斯兰教：相同点与不同点对比</w:t>
      </w:r>
    </w:p>
    <w:p/>
    <w:p>
      <w:r>
        <w:rPr>
          <w:rFonts w:ascii="SimSun" w:hAnsi="SimSun" w:eastAsia="SimSun"/>
          <w:b/>
          <w:sz w:val="24"/>
        </w:rPr>
        <w:t>相同点（五大一神教的共同特征）</w:t>
      </w:r>
    </w:p>
    <w:p>
      <w:pPr>
        <w:pStyle w:val="ListBullet"/>
      </w:pPr>
      <w:r>
        <w:rPr>
          <w:rFonts w:ascii="SimSun" w:hAnsi="SimSun" w:eastAsia="SimSun"/>
          <w:sz w:val="22"/>
        </w:rPr>
        <w:t>都强调唯一真神/至高者（一神信仰传统）。</w:t>
      </w:r>
    </w:p>
    <w:p>
      <w:pPr>
        <w:pStyle w:val="ListBullet"/>
      </w:pPr>
      <w:r>
        <w:rPr>
          <w:rFonts w:ascii="SimSun" w:hAnsi="SimSun" w:eastAsia="SimSun"/>
          <w:sz w:val="22"/>
        </w:rPr>
        <w:t>都有经典与传统解释体系（经文、注释、教法/教规/教义）。</w:t>
      </w:r>
    </w:p>
    <w:p>
      <w:pPr>
        <w:pStyle w:val="ListBullet"/>
      </w:pPr>
      <w:r>
        <w:rPr>
          <w:rFonts w:ascii="SimSun" w:hAnsi="SimSun" w:eastAsia="SimSun"/>
          <w:sz w:val="22"/>
        </w:rPr>
        <w:t>重视祈祷/礼拜与伦理（行善、悔改、节制、慈善等）。</w:t>
      </w:r>
    </w:p>
    <w:p>
      <w:pPr>
        <w:pStyle w:val="ListBullet"/>
      </w:pPr>
      <w:r>
        <w:rPr>
          <w:rFonts w:ascii="SimSun" w:hAnsi="SimSun" w:eastAsia="SimSun"/>
          <w:sz w:val="22"/>
        </w:rPr>
        <w:t>都有共同体组织（会堂/教会/清真寺与宗教领袖）。</w:t>
      </w:r>
    </w:p>
    <w:p>
      <w:pPr>
        <w:pStyle w:val="ListBullet"/>
      </w:pPr>
      <w:r>
        <w:rPr>
          <w:rFonts w:ascii="SimSun" w:hAnsi="SimSun" w:eastAsia="SimSun"/>
          <w:sz w:val="22"/>
        </w:rPr>
        <w:t>普遍相信末世审判与来世（但细节不同）。</w:t>
      </w:r>
    </w:p>
    <w:p>
      <w:r>
        <w:br w:type="page"/>
      </w:r>
    </w:p>
    <w:p>
      <w:pPr>
        <w:jc w:val="left"/>
      </w:pPr>
      <w:r>
        <w:rPr>
          <w:rFonts w:ascii="SimSun" w:hAnsi="SimSun" w:eastAsia="SimSun"/>
          <w:b/>
          <w:sz w:val="24"/>
        </w:rPr>
        <w:t>不同点对比表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2"/>
              </w:rPr>
              <w:t>比较维度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2"/>
              </w:rPr>
              <w:t>天主教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2"/>
              </w:rPr>
              <w:t>基督教（常指新教）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2"/>
              </w:rPr>
              <w:t>东正教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2"/>
              </w:rPr>
              <w:t>犹太教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2"/>
              </w:rPr>
              <w:t>伊斯兰教</w:t>
            </w:r>
          </w:p>
        </w:tc>
      </w:tr>
      <w:tr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起源与核心人物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源自耶稣与宗徒传统；罗马主教（教宗）为普世领袖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源自耶稣；16世纪宗教改革后形成多教派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源自早期大公教会传统；以各自治教会为主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起源于古以色列民族信仰；以摩西之约为核心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起源于穆罕默德（7世纪）；自认为延续亚伯拉罕传统</w:t>
            </w:r>
          </w:p>
        </w:tc>
      </w:tr>
      <w:tr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对“上帝/真主”的理解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一神；三位一体（圣父、圣子、圣灵）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一神；三位一体（多数教派）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一神；三位一体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严格一神（拒绝三位一体）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严格一神（真主独一；拒绝三位一体）</w:t>
            </w:r>
          </w:p>
        </w:tc>
      </w:tr>
      <w:tr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对耶稣的定位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耶稣为神子、救主；受死复活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耶稣为救主；强调因信称义（教派细节不同）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耶稣为神子、救主；强调神化（theosis）传统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多被视为历史教师/先知之一（传统上不承认为弥赛亚/神子）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耶稣（尔撒）是重要先知、弥赛亚之一；非神子；对受难/复活的理解与基督宗教不同</w:t>
            </w:r>
          </w:p>
        </w:tc>
      </w:tr>
      <w:tr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经典（主要）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《圣经》（含次经/第二正典）；传统与教会训导权重要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《圣经》（多为66卷）；强调“唯独圣经”（总体）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《圣经》＋圣传/礼仪传统并重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《塔纳赫》（希伯来圣经）＋《塔木德》等拉比传统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《古兰经》＋圣训（Hadith）等</w:t>
            </w:r>
          </w:p>
        </w:tc>
      </w:tr>
      <w:tr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权威与组织结构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层级制明显；教宗—主教—司铎—执事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多元：长老制/会众制/主教制等；无统一最高领袖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以主教制与各自治教会为主；无单一全球最高领袖（普世牧首具荣誉地位）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会堂与拉比体系；无全球统一神职层级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清真寺与伊玛目/学者；逊尼派较分散、什叶派部分体系更集中</w:t>
            </w:r>
          </w:p>
        </w:tc>
      </w:tr>
      <w:tr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救赎/得救观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信德＋圣礼＋善工（在恩宠中）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普遍强调“因信称义”；善行作为信心结果（教派不同）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强调在恩典中与神联合、成圣（神化）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强调遵行律法与盟约生活、悔改（来世观多样）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信仰真主与行善、遵守五功等；强调审判与慈悯</w:t>
            </w:r>
          </w:p>
        </w:tc>
      </w:tr>
      <w:tr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重要仪式/礼拜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弥撒、圣体、告解等；礼仪统一性较强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主日礼拜、讲道、圣餐/洗礼（视教派）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圣礼仪高度仪式化；圣像与礼仪传统突出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安息日礼拜、逾越节等节期仪式；割礼等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五次礼拜、聚礼（主麻）、斋月封斋、朝觐等</w:t>
            </w:r>
          </w:p>
        </w:tc>
      </w:tr>
      <w:tr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圣礼/仪式数量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七件圣事（洗礼、坚振、圣体、告解、傅油、圣秩、婚配）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多承认两大圣礼（洗礼、圣餐；名称与理解不同）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七件圣事（称“神圣奥秘”）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无“圣礼”体系；以诫命/律法规定的仪式为核心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无“圣礼”体系；以五功与教法规训为核心</w:t>
            </w:r>
          </w:p>
        </w:tc>
      </w:tr>
      <w:tr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圣职与婚姻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拉丁礼司铎多守独身；修会制度发达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多数教派牧师可结婚；修会制度较少或不同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司铎可婚（多限婚前）；主教多由修士出身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拉比可婚；强调家庭生活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伊玛目可婚；允许一夫多妻（有限制，地区与法律不同）</w:t>
            </w:r>
          </w:p>
        </w:tc>
      </w:tr>
      <w:tr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宗教法/规范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教会法；伦理与教导体系完整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强调信仰与圣经伦理；宗派规范不同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教规与传统并重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哈拉卡（犹太法）体系发达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沙里亚（伊斯兰法）体系发达</w:t>
            </w:r>
          </w:p>
        </w:tc>
      </w:tr>
      <w:tr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主要节日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圣诞、复活节、圣灵降临等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圣诞、复活节等（各派实践不同）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复活节（帕斯哈）极核心；圣诞等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逾越节、赎罪日、住棚节、光明节等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开斋节、宰牲节等（各地不一）</w:t>
            </w:r>
          </w:p>
        </w:tc>
      </w:tr>
      <w:tr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象征与场所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十字架；教堂/大教堂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十字架；教堂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十字架＋圣像；教堂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六芒星等；会堂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新月（文化象征）；清真寺</w:t>
            </w:r>
          </w:p>
        </w:tc>
      </w:tr>
      <w:tr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语言与传播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全球化；拉丁礼传统（现多用本地语言）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全球化；多用本地语言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历史上重礼仪语言与传统（现亦本地化）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与希伯来语传统关联紧密；族群与宗教双重身份常见</w:t>
            </w:r>
          </w:p>
        </w:tc>
        <w:tc>
          <w:tcPr>
            <w:tcW w:type="dxa" w:w="1569"/>
            <w:vAlign w:val="top"/>
          </w:tcPr>
          <w:p>
            <w:pPr>
              <w:jc w:val="left"/>
            </w:pPr>
            <w:r>
              <w:rPr>
                <w:rFonts w:ascii="SimSun" w:hAnsi="SimSun" w:eastAsia="SimSun"/>
                <w:sz w:val="21"/>
              </w:rPr>
              <w:t>全球化；阿拉伯语在礼拜与经典中核心地位</w:t>
            </w:r>
          </w:p>
        </w:tc>
      </w:tr>
    </w:tbl>
    <w:sectPr w:rsidR="00FC693F" w:rsidRPr="0006063C" w:rsidSect="00034616"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