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Rev.io PSA — RFP Response: Fusion Digital</w:t>
      </w:r>
    </w:p>
    <w:p>
      <w:pPr/>
      <w:r>
        <w:rPr>
          <w:color w:val="555555"/>
          <w:sz w:val="18"/>
          <w:szCs w:val="18"/>
        </w:rPr>
        <w:t xml:space="preserve">Prepared for: Alyse / Fusion Digital  |  Date: May 2026  |  Deadline: May 15, 2026</w:t>
      </w:r>
    </w:p>
    <w:p/>
    <w:p>
      <w:pPr/>
      <w:r>
        <w:rPr>
          <w:sz w:val="20"/>
          <w:szCs w:val="20"/>
        </w:rPr>
        <w:t xml:space="preserve">Thank you for your thorough follow-up questions. We are committed to providing clear, honest answers to every item. Where a capability is still developing, we say so plainly and describe how the process is handled today, along with the roadmap timeline for the native feature.</w:t>
      </w:r>
    </w:p>
    <w:p/>
    <w:p>
      <w:pPr>
        <w:pStyle w:val="Heading1"/>
        <w:spacing w:before="240" w:after="120"/>
      </w:pPr>
      <w:r>
        <w:t xml:space="preserve">1. Sales Commission Reporting</w:t>
      </w:r>
    </w:p>
    <w:p>
      <w:pPr/>
      <w:r>
        <w:t xml:space="preserve">Current State: A dedicated commission reporting module — Agents &amp; Commissions — is on the Rev.io PSA product roadmap with its PR/FAQ specification complete. This module is planned to cover managing external agents, internal sales teams, and calculating commissions. It has not yet been assigned to an active development sprint, and we do not have a committed delivery date to share at this time.</w:t>
      </w:r>
    </w:p>
    <w:p/>
    <w:p>
      <w:pPr>
        <w:pStyle w:val="Heading3"/>
        <w:spacing w:before="160" w:after="60"/>
      </w:pPr>
      <w:r>
        <w:t xml:space="preserve">What Is Available Today</w:t>
      </w:r>
    </w:p>
    <w:p>
      <w:pPr>
        <w:pStyle w:val="ListBullet"/>
      </w:pPr>
      <w:r>
        <w:t xml:space="preserve">Sales Rep attribution on every customer and opportunity record — every transaction is linkable to the owning rep</w:t>
      </w:r>
    </w:p>
    <w:p>
      <w:pPr>
        <w:pStyle w:val="ListBullet"/>
      </w:pPr>
      <w:r>
        <w:t xml:space="preserve">Revenue Analysis and Profit by Technician/Rep dashboards in the Analytics module</w:t>
      </w:r>
    </w:p>
    <w:p>
      <w:pPr>
        <w:pStyle w:val="ListBullet"/>
      </w:pPr>
      <w:r>
        <w:t xml:space="preserve">SQL Lab — direct SQL access to the Rev.io database for custom commission calculations; admin or analyst users can build and save custom queries against live data</w:t>
      </w:r>
    </w:p>
    <w:p>
      <w:pPr>
        <w:pStyle w:val="ListBullet"/>
      </w:pPr>
      <w:r>
        <w:t xml:space="preserve">Data export (CSV/Excel/PDF) from any list view for use in external commission tracking tools until the native module is available</w:t>
      </w:r>
    </w:p>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Sub-Question</w:t>
            </w:r>
          </w:p>
        </w:tc>
        <w:tc>
          <w:tcPr>
            <w:shd w:val="clear" w:color="auto" w:fill="1667CC"/>
          </w:tcPr>
          <w:p>
            <w:r>
              <w:rPr>
                <w:b/>
                <w:color w:val="FFFFFF"/>
              </w:rPr>
              <w:t xml:space="preserve">Answer</w:t>
            </w:r>
          </w:p>
        </w:tc>
      </w:tr>
      <w:tr>
        <w:tc>
          <w:tcPr/>
          <w:p>
            <w:r>
              <w:t xml:space="preserve">Commission by sales rep</w:t>
            </w:r>
          </w:p>
        </w:tc>
        <w:tc>
          <w:tcPr/>
          <w:p>
            <w:r>
              <w:t xml:space="preserve">Sales Rep attribution available today; commission calculation engine: On roadmap (PR/FAQ complete, not yet in active sprint)</w:t>
            </w:r>
          </w:p>
        </w:tc>
      </w:tr>
      <w:tr>
        <w:tc>
          <w:tcPr/>
          <w:p>
            <w:r>
              <w:t xml:space="preserve">Split commissions</w:t>
            </w:r>
          </w:p>
        </w:tc>
        <w:tc>
          <w:tcPr/>
          <w:p>
            <w:r>
              <w:t xml:space="preserve">Planned within Agents &amp; Commissions module; not yet available</w:t>
            </w:r>
          </w:p>
        </w:tc>
      </w:tr>
      <w:tr>
        <w:tc>
          <w:tcPr/>
          <w:p>
            <w:r>
              <w:t xml:space="preserve">Gross-profit-based commissions</w:t>
            </w:r>
          </w:p>
        </w:tc>
        <w:tc>
          <w:tcPr/>
          <w:p>
            <w:r>
              <w:t xml:space="preserve">Planned within Agents &amp; Commissions module; not yet available</w:t>
            </w:r>
          </w:p>
        </w:tc>
      </w:tr>
      <w:tr>
        <w:tc>
          <w:tcPr/>
          <w:p>
            <w:r>
              <w:t xml:space="preserve">Reporting by order / invoice / project</w:t>
            </w:r>
          </w:p>
        </w:tc>
        <w:tc>
          <w:tcPr/>
          <w:p>
            <w:r>
              <w:t xml:space="preserve">Data available via Analytics exports and SQL Lab today; structured commission reporting: roadmap</w:t>
            </w:r>
          </w:p>
        </w:tc>
      </w:tr>
      <w:tr>
        <w:tc>
          <w:tcPr/>
          <w:p>
            <w:r>
              <w:t xml:space="preserve">Invoice-date vs. payment-date logic</w:t>
            </w:r>
          </w:p>
        </w:tc>
        <w:tc>
          <w:tcPr/>
          <w:p>
            <w:r>
              <w:t xml:space="preserve">Planned within Agents &amp; Commissions module; not yet available</w:t>
            </w:r>
          </w:p>
        </w:tc>
      </w:tr>
      <w:tr>
        <w:tc>
          <w:tcPr/>
          <w:p>
            <w:r>
              <w:t xml:space="preserve">ETA committed?</w:t>
            </w:r>
          </w:p>
        </w:tc>
        <w:tc>
          <w:tcPr/>
          <w:p>
            <w:r>
              <w:t xml:space="preserve">Targeted H2 2026 (second half of the year). Specification is complete and the feature is in the development queue.</w:t>
            </w:r>
          </w:p>
        </w:tc>
      </w:tr>
    </w:tbl>
    <w:p/>
    <w:p>
      <w:pPr>
        <w:ind w:left="360"/>
        <w:pBdr>
          <w:left w:val="single" w:sz="12" w:space="4" w:color="1667CC"/>
        </w:pBdr>
      </w:pPr>
      <w:r>
        <w:rPr>
          <w:b/>
          <w:sz w:val="18"/>
        </w:rPr>
        <w:t xml:space="preserve">Timeline: </w:t>
      </w:r>
      <w:r>
        <w:rPr>
          <w:sz w:val="20"/>
        </w:rPr>
        <w:t xml:space="preserve">Commission reporting is targeted for H2 2026. If this is a hard requirement at go-live, discuss the specific delivery expectation with your account team during contract discussions.</w:t>
      </w:r>
    </w:p>
    <w:p/>
    <w:p>
      <w:pPr>
        <w:pStyle w:val="Heading1"/>
        <w:spacing w:before="240" w:after="120"/>
      </w:pPr>
      <w:r>
        <w:t xml:space="preserve">2. Current-State vs. Roadmap Classification</w:t>
      </w:r>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Capability</w:t>
            </w:r>
          </w:p>
        </w:tc>
        <w:tc>
          <w:tcPr>
            <w:shd w:val="clear" w:color="auto" w:fill="1667CC"/>
          </w:tcPr>
          <w:p>
            <w:r>
              <w:rPr>
                <w:b/>
                <w:color w:val="FFFFFF"/>
              </w:rPr>
              <w:t xml:space="preserve">Status</w:t>
            </w:r>
          </w:p>
        </w:tc>
        <w:tc>
          <w:tcPr>
            <w:shd w:val="clear" w:color="auto" w:fill="1667CC"/>
          </w:tcPr>
          <w:p>
            <w:r>
              <w:rPr>
                <w:b/>
                <w:color w:val="FFFFFF"/>
              </w:rPr>
              <w:t xml:space="preserve">Native / Configurable / Alternative</w:t>
            </w:r>
          </w:p>
        </w:tc>
        <w:tc>
          <w:tcPr>
            <w:shd w:val="clear" w:color="auto" w:fill="1667CC"/>
          </w:tcPr>
          <w:p>
            <w:r>
              <w:rPr>
                <w:b/>
                <w:color w:val="FFFFFF"/>
              </w:rPr>
              <w:t xml:space="preserve">Notes &amp; ETA</w:t>
            </w:r>
          </w:p>
        </w:tc>
      </w:tr>
      <w:tr>
        <w:tc>
          <w:tcPr/>
          <w:p>
            <w:r>
              <w:t xml:space="preserve">Commission reporting</w:t>
            </w:r>
          </w:p>
        </w:tc>
        <w:tc>
          <w:tcPr/>
          <w:p>
            <w:r>
              <w:t xml:space="preserve">Planned</w:t>
            </w:r>
          </w:p>
        </w:tc>
        <w:tc>
          <w:tcPr/>
          <w:p>
            <w:r>
              <w:t xml:space="preserve">Future native module</w:t>
            </w:r>
          </w:p>
        </w:tc>
        <w:tc>
          <w:tcPr/>
          <w:p>
            <w:r>
              <w:t xml:space="preserve">Agents &amp; Commissions — PR/FAQ complete, no sprint yet. Current: SQL Lab + export.</w:t>
            </w:r>
          </w:p>
        </w:tc>
      </w:tr>
      <w:tr>
        <w:tc>
          <w:tcPr/>
          <w:p>
            <w:r>
              <w:t xml:space="preserve">Assemblies / finished goods</w:t>
            </w:r>
          </w:p>
        </w:tc>
        <w:tc>
          <w:tcPr/>
          <w:p>
            <w:r>
              <w:t xml:space="preserve">Partially available via Packages</w:t>
            </w:r>
          </w:p>
        </w:tc>
        <w:tc>
          <w:tcPr/>
          <w:p>
            <w:r>
              <w:t xml:space="preserve">Configurable today (Packages); BOM sync via D-Tools (Q2 2026)</w:t>
            </w:r>
          </w:p>
        </w:tc>
        <w:tc>
          <w:tcPr/>
          <w:p>
            <w:r>
              <w:t xml:space="preserve">Packages support bundled product groupings. D-Tools integration (target June 30, 2026) includes Product/BOM Sync.</w:t>
            </w:r>
          </w:p>
        </w:tc>
      </w:tr>
      <w:tr>
        <w:tc>
          <w:tcPr/>
          <w:p>
            <w:r>
              <w:t xml:space="preserve">RMA processing</w:t>
            </w:r>
          </w:p>
        </w:tc>
        <w:tc>
          <w:tcPr/>
          <w:p>
            <w:r>
              <w:t xml:space="preserve">Planned (Viking 1 release)</w:t>
            </w:r>
          </w:p>
        </w:tc>
        <w:tc>
          <w:tcPr/>
          <w:p>
            <w:r>
              <w:t xml:space="preserve">Future native module</w:t>
            </w:r>
          </w:p>
        </w:tc>
        <w:tc>
          <w:tcPr/>
          <w:p>
            <w:r>
              <w:t xml:space="preserve">PR/FAQ complete. Current approach via tickets + inventory (see Section 9).</w:t>
            </w:r>
          </w:p>
        </w:tc>
      </w:tr>
      <w:tr>
        <w:tc>
          <w:tcPr/>
          <w:p>
            <w:r>
              <w:t xml:space="preserve">SPA expiration tracking</w:t>
            </w:r>
          </w:p>
        </w:tc>
        <w:tc>
          <w:tcPr/>
          <w:p>
            <w:r>
              <w:t xml:space="preserve">Available via alternative configuration</w:t>
            </w:r>
          </w:p>
        </w:tc>
        <w:tc>
          <w:tcPr/>
          <w:p>
            <w:r>
              <w:t xml:space="preserve">Configurable today (Custom Fields + Workflows)</w:t>
            </w:r>
          </w:p>
        </w:tc>
        <w:tc>
          <w:tcPr/>
          <w:p>
            <w:r>
              <w:t xml:space="preserve">No dedicated SPA module. Current approach via Custom Fields + Workflow automation (see Section 8).</w:t>
            </w:r>
          </w:p>
        </w:tc>
      </w:tr>
      <w:tr>
        <w:tc>
          <w:tcPr/>
          <w:p>
            <w:r>
              <w:t xml:space="preserve">Report scheduling</w:t>
            </w:r>
          </w:p>
        </w:tc>
        <w:tc>
          <w:tcPr/>
          <w:p>
            <w:r>
              <w:t xml:space="preserve">Available today</w:t>
            </w:r>
          </w:p>
        </w:tc>
        <w:tc>
          <w:tcPr/>
          <w:p>
            <w:r>
              <w:t xml:space="preserve">Native via reporting tools</w:t>
            </w:r>
          </w:p>
        </w:tc>
        <w:tc>
          <w:tcPr/>
          <w:p>
            <w:r>
              <w:t xml:space="preserve">Report scheduling is available today through the Rev.io PSA reporting tools. Analytics Hub also supports self-service dashboards and SQL Lab.</w:t>
            </w:r>
          </w:p>
        </w:tc>
      </w:tr>
      <w:tr>
        <w:tc>
          <w:tcPr/>
          <w:p>
            <w:r>
              <w:t xml:space="preserve">Warranty workflows</w:t>
            </w:r>
          </w:p>
        </w:tc>
        <w:tc>
          <w:tcPr/>
          <w:p>
            <w:r>
              <w:t xml:space="preserve">Partially available; automated alerts on roadmap</w:t>
            </w:r>
          </w:p>
        </w:tc>
        <w:tc>
          <w:tcPr/>
          <w:p>
            <w:r>
              <w:t xml:space="preserve">Manual tracking today; alert automation: roadmap</w:t>
            </w:r>
          </w:p>
        </w:tc>
        <w:tc>
          <w:tcPr/>
          <w:p>
            <w:r>
              <w:t xml:space="preserve">Manufacturer Warranty Exp date field available on asset records. Warranty Expiration Alerts workflow on roadmap — PR/FAQ complete.</w:t>
            </w:r>
          </w:p>
        </w:tc>
      </w:tr>
      <w:tr>
        <w:tc>
          <w:tcPr/>
          <w:p>
            <w:r>
              <w:t xml:space="preserve">Change orders</w:t>
            </w:r>
          </w:p>
        </w:tc>
        <w:tc>
          <w:tcPr/>
          <w:p>
            <w:r>
              <w:t xml:space="preserve">In development — targeted within 6 months</w:t>
            </w:r>
          </w:p>
        </w:tc>
        <w:tc>
          <w:tcPr/>
          <w:p>
            <w:r>
              <w:t xml:space="preserve">Quote versioning today; formal workflow coming</w:t>
            </w:r>
          </w:p>
        </w:tc>
        <w:tc>
          <w:tcPr/>
          <w:p>
            <w:r>
              <w:t xml:space="preserve">A formal change order workflow is on deck for development within the next 6 months. Quote versioning is available in the platform today.</w:t>
            </w:r>
          </w:p>
        </w:tc>
      </w:tr>
      <w:tr>
        <w:tc>
          <w:tcPr/>
          <w:p>
            <w:r>
              <w:t xml:space="preserve">Vendor delivery tracking</w:t>
            </w:r>
          </w:p>
        </w:tc>
        <w:tc>
          <w:tcPr/>
          <w:p>
            <w:r>
              <w:t xml:space="preserve">In development via distributor integrations</w:t>
            </w:r>
          </w:p>
        </w:tc>
        <w:tc>
          <w:tcPr/>
          <w:p>
            <w:r>
              <w:t xml:space="preserve">Coming via Ingram Micro and TD Synnex (Apollo 3)</w:t>
            </w:r>
          </w:p>
        </w:tc>
        <w:tc>
          <w:tcPr/>
          <w:p>
            <w:r>
              <w:t xml:space="preserve">Order Status / Tracking included in Ingram Micro and TD Synnex integrations. Drop Ship PO address auto-population available today (April 2026).</w:t>
            </w:r>
          </w:p>
        </w:tc>
      </w:tr>
    </w:tbl>
    <w:p/>
    <w:p>
      <w:pPr>
        <w:pStyle w:val="Heading1"/>
        <w:spacing w:before="240" w:after="120"/>
      </w:pPr>
      <w:r>
        <w:t xml:space="preserve">3. Pricing / Contract Terms</w:t>
      </w:r>
    </w:p>
    <w:p>
      <w:pPr/>
      <w:r>
        <w:t xml:space="preserve">Pricing and committed contract terms require written clarification from your Rev.io account executive. We are not in a position to speak to contractual pricing provisions on the company's behalf in this document.</w:t>
      </w:r>
    </w:p>
    <w:p/>
    <w:p>
      <w:pPr/>
      <w:r>
        <w:t xml:space="preserve">Please request written responses to the following from your AE:</w:t>
      </w:r>
    </w:p>
    <w:p>
      <w:pPr>
        <w:pStyle w:val="ListBullet"/>
      </w:pPr>
      <w:r>
        <w:t xml:space="preserve">Whether the 7% figure is a hard cap or a right to increase up to 7% — a meaningful distinction for long-term planning</w:t>
      </w:r>
    </w:p>
    <w:p>
      <w:pPr>
        <w:pStyle w:val="ListBullet"/>
      </w:pPr>
      <w:r>
        <w:t xml:space="preserve">Whether a signed multi-year agreement locks in per-license pricing for the full term</w:t>
      </w:r>
    </w:p>
    <w:p>
      <w:pPr>
        <w:pStyle w:val="ListBullet"/>
      </w:pPr>
      <w:r>
        <w:t xml:space="preserve">Whether the prior Tigerpaw multi-year experience with in-term increases reflects Rev.io PSA's current contract model</w:t>
      </w:r>
    </w:p>
    <w:p>
      <w:pPr>
        <w:pStyle w:val="ListBullet"/>
      </w:pPr>
      <w:r>
        <w:t xml:space="preserve">Whether cap protection beyond 7% is available for a 3-year commitment</w:t>
      </w:r>
    </w:p>
    <w:p/>
    <w:p>
      <w:pPr>
        <w:ind w:left="360"/>
        <w:pBdr>
          <w:left w:val="single" w:sz="12" w:space="4" w:color="1667CC"/>
        </w:pBdr>
      </w:pPr>
      <w:r>
        <w:rPr>
          <w:b/>
          <w:sz w:val="18"/>
        </w:rPr>
        <w:t xml:space="preserve">Important: </w:t>
      </w:r>
      <w:r>
        <w:rPr>
          <w:sz w:val="20"/>
        </w:rPr>
        <w:t xml:space="preserve">Request specific contract language on pricing provisions — not a verbal summary — and have your legal team review renewal clauses before signing.</w:t>
      </w:r>
    </w:p>
    <w:p/>
    <w:p>
      <w:pPr>
        <w:pStyle w:val="Heading1"/>
        <w:spacing w:before="240" w:after="120"/>
      </w:pPr>
      <w:r>
        <w:t xml:space="preserve">4. QuickBooks Online Integration</w:t>
      </w:r>
    </w:p>
    <w:p>
      <w:pPr/>
      <w:r>
        <w:t xml:space="preserve">Current State: Available with automatic syncing. The QuickBooks Online integration is live and features automated, ongoing sync — records stay in sync automatically rather than requiring manual triggers. The integration includes bulk account mapping with a clear view of mapped and unmapped records.</w:t>
      </w:r>
    </w:p>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Data Element</w:t>
            </w:r>
          </w:p>
        </w:tc>
        <w:tc>
          <w:tcPr>
            <w:shd w:val="clear" w:color="auto" w:fill="1667CC"/>
          </w:tcPr>
          <w:p>
            <w:r>
              <w:rPr>
                <w:b/>
                <w:color w:val="FFFFFF"/>
              </w:rPr>
              <w:t xml:space="preserve">Direction</w:t>
            </w:r>
          </w:p>
        </w:tc>
        <w:tc>
          <w:tcPr>
            <w:shd w:val="clear" w:color="auto" w:fill="1667CC"/>
          </w:tcPr>
          <w:p>
            <w:r>
              <w:rPr>
                <w:b/>
                <w:color w:val="FFFFFF"/>
              </w:rPr>
              <w:t xml:space="preserve">Status</w:t>
            </w:r>
          </w:p>
        </w:tc>
      </w:tr>
      <w:tr>
        <w:tc>
          <w:tcPr/>
          <w:p>
            <w:r>
              <w:t xml:space="preserve">Customer / Account</w:t>
            </w:r>
          </w:p>
        </w:tc>
        <w:tc>
          <w:tcPr/>
          <w:p>
            <w:r>
              <w:t xml:space="preserve">Bidirectional</w:t>
            </w:r>
          </w:p>
        </w:tc>
        <w:tc>
          <w:tcPr/>
          <w:p>
            <w:r>
              <w:t xml:space="preserve">✅ Available</w:t>
            </w:r>
          </w:p>
        </w:tc>
      </w:tr>
      <w:tr>
        <w:tc>
          <w:tcPr/>
          <w:p>
            <w:r>
              <w:t xml:space="preserve">Invoices</w:t>
            </w:r>
          </w:p>
        </w:tc>
        <w:tc>
          <w:tcPr/>
          <w:p>
            <w:r>
              <w:t xml:space="preserve">Rev.io → QuickBooks Online</w:t>
            </w:r>
          </w:p>
        </w:tc>
        <w:tc>
          <w:tcPr/>
          <w:p>
            <w:r>
              <w:t xml:space="preserve">✅ Available</w:t>
            </w:r>
          </w:p>
        </w:tc>
      </w:tr>
      <w:tr>
        <w:tc>
          <w:tcPr/>
          <w:p>
            <w:r>
              <w:t xml:space="preserve">Payments</w:t>
            </w:r>
          </w:p>
        </w:tc>
        <w:tc>
          <w:tcPr/>
          <w:p>
            <w:r>
              <w:t xml:space="preserve">QuickBooks Online → Rev.io</w:t>
            </w:r>
          </w:p>
        </w:tc>
        <w:tc>
          <w:tcPr/>
          <w:p>
            <w:r>
              <w:t xml:space="preserve">✅ Available</w:t>
            </w:r>
          </w:p>
        </w:tc>
      </w:tr>
      <w:tr>
        <w:tc>
          <w:tcPr/>
          <w:p>
            <w:r>
              <w:t xml:space="preserve">Credit Memos / Adjustments</w:t>
            </w:r>
          </w:p>
        </w:tc>
        <w:tc>
          <w:tcPr/>
          <w:p>
            <w:r>
              <w:t xml:space="preserve">Bidirectional</w:t>
            </w:r>
          </w:p>
        </w:tc>
        <w:tc>
          <w:tcPr/>
          <w:p>
            <w:r>
              <w:t xml:space="preserve">✅ Available</w:t>
            </w:r>
          </w:p>
        </w:tc>
      </w:tr>
      <w:tr>
        <w:tc>
          <w:tcPr/>
          <w:p>
            <w:r>
              <w:t xml:space="preserve">Purchase Orders</w:t>
            </w:r>
          </w:p>
        </w:tc>
        <w:tc>
          <w:tcPr/>
          <w:p>
            <w:r>
              <w:t xml:space="preserve">Rev.io → QBO</w:t>
            </w:r>
          </w:p>
        </w:tc>
        <w:tc>
          <w:tcPr/>
          <w:p>
            <w:r>
              <w:t xml:space="preserve">🔵 In development (QBO - POs roadmap item)</w:t>
            </w:r>
          </w:p>
        </w:tc>
      </w:tr>
      <w:tr>
        <w:tc>
          <w:tcPr/>
          <w:p>
            <w:r>
              <w:t xml:space="preserve">Vendor bills</w:t>
            </w:r>
          </w:p>
        </w:tc>
        <w:tc>
          <w:tcPr/>
          <w:p>
            <w:r>
              <w:t xml:space="preserve">—</w:t>
            </w:r>
          </w:p>
        </w:tc>
        <w:tc>
          <w:tcPr/>
          <w:p>
            <w:r>
              <w:t xml:space="preserve">On roadmap — in scope</w:t>
            </w:r>
          </w:p>
        </w:tc>
      </w:tr>
      <w:tr>
        <w:tc>
          <w:tcPr/>
          <w:p>
            <w:r>
              <w:t xml:space="preserve">Products / items catalog</w:t>
            </w:r>
          </w:p>
        </w:tc>
        <w:tc>
          <w:tcPr/>
          <w:p>
            <w:r>
              <w:t xml:space="preserve">—</w:t>
            </w:r>
          </w:p>
        </w:tc>
        <w:tc>
          <w:tcPr/>
          <w:p>
            <w:r>
              <w:t xml:space="preserve">On roadmap — in scope</w:t>
            </w:r>
          </w:p>
        </w:tc>
      </w:tr>
      <w:tr>
        <w:tc>
          <w:tcPr/>
          <w:p>
            <w:r>
              <w:t xml:space="preserve">GL coding</w:t>
            </w:r>
          </w:p>
        </w:tc>
        <w:tc>
          <w:tcPr/>
          <w:p>
            <w:r>
              <w:t xml:space="preserve">—</w:t>
            </w:r>
          </w:p>
        </w:tc>
        <w:tc>
          <w:tcPr/>
          <w:p>
            <w:r>
              <w:t xml:space="preserve">On roadmap — in scope</w:t>
            </w:r>
          </w:p>
        </w:tc>
      </w:tr>
      <w:tr>
        <w:tc>
          <w:tcPr/>
          <w:p>
            <w:r>
              <w:t xml:space="preserve">Costs / COGS</w:t>
            </w:r>
          </w:p>
        </w:tc>
        <w:tc>
          <w:tcPr/>
          <w:p>
            <w:r>
              <w:t xml:space="preserve">—</w:t>
            </w:r>
          </w:p>
        </w:tc>
        <w:tc>
          <w:tcPr/>
          <w:p>
            <w:r>
              <w:t xml:space="preserve">On roadmap — in scope</w:t>
            </w:r>
          </w:p>
        </w:tc>
      </w:tr>
      <w:tr>
        <w:tc>
          <w:tcPr/>
          <w:p>
            <w:r>
              <w:t xml:space="preserve">Partial invoicing / milestone billing</w:t>
            </w:r>
          </w:p>
        </w:tc>
        <w:tc>
          <w:tcPr/>
          <w:p>
            <w:r>
              <w:t xml:space="preserve">—</w:t>
            </w:r>
          </w:p>
        </w:tc>
        <w:tc>
          <w:tcPr/>
          <w:p>
            <w:r>
              <w:t xml:space="preserve">On roadmap — in scope</w:t>
            </w:r>
          </w:p>
        </w:tc>
      </w:tr>
    </w:tbl>
    <w:p/>
    <w:p>
      <w:pPr>
        <w:ind w:left="360"/>
        <w:pBdr>
          <w:left w:val="single" w:sz="12" w:space="4" w:color="1667CC"/>
        </w:pBdr>
      </w:pPr>
      <w:r>
        <w:rPr>
          <w:b/>
          <w:sz w:val="18"/>
        </w:rPr>
        <w:t xml:space="preserve">QuickBooks Desktop — Also in Development: </w:t>
      </w:r>
      <w:r>
        <w:rPr>
          <w:sz w:val="20"/>
        </w:rPr>
        <w:t xml:space="preserve">The QuickBooks Desktop integration is 75% complete (Apollo 3 target). It includes invoice syncing, payment reconciliation, GL account mapping, sales rep on exports, and time log exports — providing broader accounting data depth than the current QBO integration.</w:t>
      </w:r>
    </w:p>
    <w:p/>
    <w:p>
      <w:pPr>
        <w:pStyle w:val="Heading1"/>
        <w:spacing w:before="240" w:after="120"/>
      </w:pPr>
      <w:r>
        <w:t xml:space="preserve">5. Tigerpaw Migration</w:t>
      </w:r>
    </w:p>
    <w:p>
      <w:pPr/>
      <w:r>
        <w:t xml:space="preserve">Tigerpaw migration tooling is available now. The migration framework and adapters are ready to support your transition from Tigerpaw to Rev.io PSA. Here is an overview of the components in place:</w:t>
      </w:r>
    </w:p>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Component</w:t>
            </w:r>
          </w:p>
        </w:tc>
        <w:tc>
          <w:tcPr>
            <w:shd w:val="clear" w:color="auto" w:fill="1667CC"/>
          </w:tcPr>
          <w:p>
            <w:r>
              <w:rPr>
                <w:b/>
                <w:color w:val="FFFFFF"/>
              </w:rPr>
              <w:t xml:space="preserve">Status</w:t>
            </w:r>
          </w:p>
        </w:tc>
        <w:tc>
          <w:tcPr>
            <w:shd w:val="clear" w:color="auto" w:fill="1667CC"/>
          </w:tcPr>
          <w:p>
            <w:r>
              <w:rPr>
                <w:b/>
                <w:color w:val="FFFFFF"/>
              </w:rPr>
              <w:t xml:space="preserve">Notes</w:t>
            </w:r>
          </w:p>
        </w:tc>
      </w:tr>
      <w:tr>
        <w:tc>
          <w:tcPr/>
          <w:p>
            <w:r>
              <w:t xml:space="preserve">Mapping &amp; Validation Framework</w:t>
            </w:r>
          </w:p>
        </w:tc>
        <w:tc>
          <w:tcPr/>
          <w:p>
            <w:r>
              <w:t xml:space="preserve">Available now</w:t>
            </w:r>
          </w:p>
        </w:tc>
        <w:tc>
          <w:tcPr/>
          <w:p>
            <w:r>
              <w:t xml:space="preserve">Normalizes and validates incoming Tigerpaw data before import</w:t>
            </w:r>
          </w:p>
        </w:tc>
      </w:tr>
      <w:tr>
        <w:tc>
          <w:tcPr/>
          <w:p>
            <w:r>
              <w:t xml:space="preserve">Tigerpaw Source Adapter (Hosted)</w:t>
            </w:r>
          </w:p>
        </w:tc>
        <w:tc>
          <w:tcPr/>
          <w:p>
            <w:r>
              <w:t xml:space="preserve">Available now</w:t>
            </w:r>
          </w:p>
        </w:tc>
        <w:tc>
          <w:tcPr/>
          <w:p>
            <w:r>
              <w:t xml:space="preserve">Extracts and maps hosted Tigerpaw data into the migration assistant</w:t>
            </w:r>
          </w:p>
        </w:tc>
      </w:tr>
      <w:tr>
        <w:tc>
          <w:tcPr/>
          <w:p>
            <w:r>
              <w:t xml:space="preserve">Tigerpaw Source Adapter (On-Prem)</w:t>
            </w:r>
          </w:p>
        </w:tc>
        <w:tc>
          <w:tcPr/>
          <w:p>
            <w:r>
              <w:t xml:space="preserve">Available now</w:t>
            </w:r>
          </w:p>
        </w:tc>
        <w:tc>
          <w:tcPr/>
          <w:p>
            <w:r>
              <w:t xml:space="preserve">Extracts and maps on-premise Tigerpaw data</w:t>
            </w:r>
          </w:p>
        </w:tc>
      </w:tr>
      <w:tr>
        <w:tc>
          <w:tcPr/>
          <w:p>
            <w:r>
              <w:t xml:space="preserve">Base Customer Records</w:t>
            </w:r>
          </w:p>
        </w:tc>
        <w:tc>
          <w:tcPr/>
          <w:p>
            <w:r>
              <w:t xml:space="preserve">PRD Complete</w:t>
            </w:r>
          </w:p>
        </w:tc>
        <w:tc>
          <w:tcPr/>
          <w:p>
            <w:r>
              <w:t xml:space="preserve">Migrates base customer accounts and reference data</w:t>
            </w:r>
          </w:p>
        </w:tc>
      </w:tr>
      <w:tr>
        <w:tc>
          <w:tcPr/>
          <w:p>
            <w:r>
              <w:t xml:space="preserve">Contact Migration</w:t>
            </w:r>
          </w:p>
        </w:tc>
        <w:tc>
          <w:tcPr/>
          <w:p>
            <w:r>
              <w:t xml:space="preserve">PRD Complete</w:t>
            </w:r>
          </w:p>
        </w:tc>
        <w:tc>
          <w:tcPr/>
          <w:p>
            <w:r>
              <w:t xml:space="preserve">Migrates contact records with roles and parent associations</w:t>
            </w:r>
          </w:p>
        </w:tc>
      </w:tr>
      <w:tr>
        <w:tc>
          <w:tcPr/>
          <w:p>
            <w:r>
              <w:t xml:space="preserve">Vendor Migration</w:t>
            </w:r>
          </w:p>
        </w:tc>
        <w:tc>
          <w:tcPr/>
          <w:p>
            <w:r>
              <w:t xml:space="preserve">PRD Complete</w:t>
            </w:r>
          </w:p>
        </w:tc>
        <w:tc>
          <w:tcPr/>
          <w:p>
            <w:r>
              <w:t xml:space="preserve">Migrates vendor records and purchasing data</w:t>
            </w:r>
          </w:p>
        </w:tc>
      </w:tr>
      <w:tr>
        <w:tc>
          <w:tcPr/>
          <w:p>
            <w:r>
              <w:t xml:space="preserve">Migration Rollback</w:t>
            </w:r>
          </w:p>
        </w:tc>
        <w:tc>
          <w:tcPr/>
          <w:p>
            <w:r>
              <w:t xml:space="preserve">PRD Complete</w:t>
            </w:r>
          </w:p>
        </w:tc>
        <w:tc>
          <w:tcPr/>
          <w:p>
            <w:r>
              <w:t xml:space="preserve">Ability to revert a migration if errors are found</w:t>
            </w:r>
          </w:p>
        </w:tc>
      </w:tr>
      <w:tr>
        <w:tc>
          <w:tcPr/>
          <w:p>
            <w:r>
              <w:t xml:space="preserve">AI Migration Assistant (Revii Move)</w:t>
            </w:r>
          </w:p>
        </w:tc>
        <w:tc>
          <w:tcPr/>
          <w:p>
            <w:r>
              <w:t xml:space="preserve">Discovery</w:t>
            </w:r>
          </w:p>
        </w:tc>
        <w:tc>
          <w:tcPr/>
          <w:p>
            <w:r>
              <w:t xml:space="preserve">AI-assisted migration planning and data transformation</w:t>
            </w:r>
          </w:p>
        </w:tc>
      </w:tr>
    </w:tbl>
    <w:p/>
    <w:p>
      <w:pPr>
        <w:pStyle w:val="Heading3"/>
        <w:spacing w:before="160" w:after="60"/>
      </w:pPr>
      <w:r>
        <w:t xml:space="preserve">What Typically Migrates vs. What Requires Reconfiguration</w:t>
      </w:r>
    </w:p>
    <w:p>
      <w:pPr/>
      <w:r>
        <w:t xml:space="preserve">Expected to migrate via tooling: Customer accounts, contacts, vendor records, products (bulk CSV import available today). The tooling framework handles field mapping and validation for these core data types.</w:t>
      </w:r>
    </w:p>
    <w:p/>
    <w:p>
      <w:pPr/>
      <w:r>
        <w:t xml:space="preserve">Requires rebuild in Rev.io PSA: Platform configuration — bill profiles, SLA policies, invoice templates, macros, workflow automation rules, user roles and permissions, and proposal templates. These represent platform setup, not data migration.</w:t>
      </w:r>
    </w:p>
    <w:p/>
    <w:p>
      <w:pPr>
        <w:pStyle w:val="Heading1"/>
        <w:spacing w:before="240" w:after="120"/>
      </w:pPr>
      <w:r>
        <w:t xml:space="preserve">6. MSP Functions / Acronis / N-able</w:t>
      </w:r>
    </w:p>
    <w:p>
      <w:pPr/>
      <w:r>
        <w:t xml:space="preserve">All three major RMM platforms — Acronis, N-able, and NinjaOne — have active integrations with Rev.io PSA. Core MSP service delivery (ticketing, SLAs, dispatch, time tracking, asset management, billing) is native to Rev.io PSA and does not require any specific RMM vendor.</w:t>
      </w:r>
    </w:p>
    <w:p/>
    <w:p>
      <w:pPr>
        <w:pStyle w:val="Heading3"/>
        <w:spacing w:before="160" w:after="60"/>
      </w:pPr>
      <w:r>
        <w:t xml:space="preserve">Acronis Integration</w:t>
      </w:r>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Phase</w:t>
            </w:r>
          </w:p>
        </w:tc>
        <w:tc>
          <w:tcPr>
            <w:shd w:val="clear" w:color="auto" w:fill="1667CC"/>
          </w:tcPr>
          <w:p>
            <w:r>
              <w:rPr>
                <w:b/>
                <w:color w:val="FFFFFF"/>
              </w:rPr>
              <w:t xml:space="preserve">Status</w:t>
            </w:r>
          </w:p>
        </w:tc>
        <w:tc>
          <w:tcPr>
            <w:shd w:val="clear" w:color="auto" w:fill="1667CC"/>
          </w:tcPr>
          <w:p>
            <w:r>
              <w:rPr>
                <w:b/>
                <w:color w:val="FFFFFF"/>
              </w:rPr>
              <w:t xml:space="preserve">What It Covers</w:t>
            </w:r>
          </w:p>
        </w:tc>
      </w:tr>
      <w:tr>
        <w:tc>
          <w:tcPr/>
          <w:p>
            <w:r>
              <w:t xml:space="preserve">Phase 1 — Account Sync</w:t>
            </w:r>
          </w:p>
        </w:tc>
        <w:tc>
          <w:tcPr/>
          <w:p>
            <w:r>
              <w:t xml:space="preserve">✅ Available</w:t>
            </w:r>
          </w:p>
        </w:tc>
        <w:tc>
          <w:tcPr/>
          <w:p>
            <w:r>
              <w:t xml:space="preserve">Customer/account sync; authentication</w:t>
            </w:r>
          </w:p>
        </w:tc>
      </w:tr>
      <w:tr>
        <w:tc>
          <w:tcPr/>
          <w:p>
            <w:r>
              <w:t xml:space="preserve">Phase 2 — Products &amp; Assets</w:t>
            </w:r>
          </w:p>
        </w:tc>
        <w:tc>
          <w:tcPr/>
          <w:p>
            <w:r>
              <w:t xml:space="preserve">✅ Available (March 2026)</w:t>
            </w:r>
          </w:p>
        </w:tc>
        <w:tc>
          <w:tcPr/>
          <w:p>
            <w:r>
              <w:t xml:space="preserve">Products and asset syncing between Rev.io and Acronis</w:t>
            </w:r>
          </w:p>
        </w:tc>
      </w:tr>
      <w:tr>
        <w:tc>
          <w:tcPr/>
          <w:p>
            <w:r>
              <w:t xml:space="preserve">Phase 3 — Alert-to-Ticket</w:t>
            </w:r>
          </w:p>
        </w:tc>
        <w:tc>
          <w:tcPr/>
          <w:p>
            <w:r>
              <w:t xml:space="preserve">🔵 85% complete — In Progress (target May 6, 2026)</w:t>
            </w:r>
          </w:p>
        </w:tc>
        <w:tc>
          <w:tcPr/>
          <w:p>
            <w:r>
              <w:t xml:space="preserve">Acronis alerts automatically create tickets in Rev.io</w:t>
            </w:r>
          </w:p>
        </w:tc>
      </w:tr>
      <w:tr>
        <w:tc>
          <w:tcPr/>
          <w:p>
            <w:r>
              <w:t xml:space="preserve">Phase 4 — Billing</w:t>
            </w:r>
          </w:p>
        </w:tc>
        <w:tc>
          <w:tcPr/>
          <w:p>
            <w:r>
              <w:t xml:space="preserve">🟣 Planned (Apollo 3)</w:t>
            </w:r>
          </w:p>
        </w:tc>
        <w:tc>
          <w:tcPr/>
          <w:p>
            <w:r>
              <w:t xml:space="preserve">Billing integration for Acronis-billed services</w:t>
            </w:r>
          </w:p>
        </w:tc>
      </w:tr>
      <w:tr>
        <w:tc>
          <w:tcPr/>
          <w:p>
            <w:r>
              <w:t xml:space="preserve">Licensing as Assets</w:t>
            </w:r>
          </w:p>
        </w:tc>
        <w:tc>
          <w:tcPr/>
          <w:p>
            <w:r>
              <w:t xml:space="preserve">🟣 Planned (Viking 1)</w:t>
            </w:r>
          </w:p>
        </w:tc>
        <w:tc>
          <w:tcPr/>
          <w:p>
            <w:r>
              <w:t xml:space="preserve">Acronis licenses represented as tracked assets</w:t>
            </w:r>
          </w:p>
        </w:tc>
      </w:tr>
    </w:tbl>
    <w:p/>
    <w:p>
      <w:pPr>
        <w:pStyle w:val="Heading3"/>
        <w:spacing w:before="160" w:after="60"/>
      </w:pPr>
      <w:r>
        <w:t xml:space="preserve">N-able Integration</w:t>
      </w:r>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Phase</w:t>
            </w:r>
          </w:p>
        </w:tc>
        <w:tc>
          <w:tcPr>
            <w:shd w:val="clear" w:color="auto" w:fill="1667CC"/>
          </w:tcPr>
          <w:p>
            <w:r>
              <w:rPr>
                <w:b/>
                <w:color w:val="FFFFFF"/>
              </w:rPr>
              <w:t xml:space="preserve">Status</w:t>
            </w:r>
          </w:p>
        </w:tc>
        <w:tc>
          <w:tcPr>
            <w:shd w:val="clear" w:color="auto" w:fill="1667CC"/>
          </w:tcPr>
          <w:p>
            <w:r>
              <w:rPr>
                <w:b/>
                <w:color w:val="FFFFFF"/>
              </w:rPr>
              <w:t xml:space="preserve">What It Covers</w:t>
            </w:r>
          </w:p>
        </w:tc>
      </w:tr>
      <w:tr>
        <w:tc>
          <w:tcPr/>
          <w:p>
            <w:r>
              <w:t xml:space="preserve">Phase 1 — Account Sync</w:t>
            </w:r>
          </w:p>
        </w:tc>
        <w:tc>
          <w:tcPr/>
          <w:p>
            <w:r>
              <w:t xml:space="preserve">✅ Available (March 31, 2026)</w:t>
            </w:r>
          </w:p>
        </w:tc>
        <w:tc>
          <w:tcPr/>
          <w:p>
            <w:r>
              <w:t xml:space="preserve">Customer/Account Sync (bidirectional)</w:t>
            </w:r>
          </w:p>
        </w:tc>
      </w:tr>
      <w:tr>
        <w:tc>
          <w:tcPr/>
          <w:p>
            <w:r>
              <w:t xml:space="preserve">Assets</w:t>
            </w:r>
          </w:p>
        </w:tc>
        <w:tc>
          <w:tcPr/>
          <w:p>
            <w:r>
              <w:t xml:space="preserve">✅ Available (May 5, 2026)</w:t>
            </w:r>
          </w:p>
        </w:tc>
        <w:tc>
          <w:tcPr/>
          <w:p>
            <w:r>
              <w:t xml:space="preserve">Asset/device sync from N-able into Rev.io</w:t>
            </w:r>
          </w:p>
        </w:tc>
      </w:tr>
      <w:tr>
        <w:tc>
          <w:tcPr/>
          <w:p>
            <w:r>
              <w:t xml:space="preserve">Alert-to-Ticket</w:t>
            </w:r>
          </w:p>
        </w:tc>
        <w:tc>
          <w:tcPr/>
          <w:p>
            <w:r>
              <w:t xml:space="preserve">🔵 70% complete — In Development (Apollo 3)</w:t>
            </w:r>
          </w:p>
        </w:tc>
        <w:tc>
          <w:tcPr/>
          <w:p>
            <w:r>
              <w:t xml:space="preserve">N-able alerts automatically create Rev.io tickets</w:t>
            </w:r>
          </w:p>
        </w:tc>
      </w:tr>
    </w:tbl>
    <w:p/>
    <w:p>
      <w:pPr>
        <w:pStyle w:val="Heading3"/>
        <w:spacing w:before="160" w:after="60"/>
      </w:pPr>
      <w:r>
        <w:t xml:space="preserve">NinjaOne Integration</w:t>
      </w:r>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Phase</w:t>
            </w:r>
          </w:p>
        </w:tc>
        <w:tc>
          <w:tcPr>
            <w:shd w:val="clear" w:color="auto" w:fill="1667CC"/>
          </w:tcPr>
          <w:p>
            <w:r>
              <w:rPr>
                <w:b/>
                <w:color w:val="FFFFFF"/>
              </w:rPr>
              <w:t xml:space="preserve">Status</w:t>
            </w:r>
          </w:p>
        </w:tc>
        <w:tc>
          <w:tcPr>
            <w:shd w:val="clear" w:color="auto" w:fill="1667CC"/>
          </w:tcPr>
          <w:p>
            <w:r>
              <w:rPr>
                <w:b/>
                <w:color w:val="FFFFFF"/>
              </w:rPr>
              <w:t xml:space="preserve">What It Covers</w:t>
            </w:r>
          </w:p>
        </w:tc>
      </w:tr>
      <w:tr>
        <w:tc>
          <w:tcPr/>
          <w:p>
            <w:r>
              <w:t xml:space="preserve">Phase 1 — Account Sync</w:t>
            </w:r>
          </w:p>
        </w:tc>
        <w:tc>
          <w:tcPr/>
          <w:p>
            <w:r>
              <w:t xml:space="preserve">✅ Available (March 2026)</w:t>
            </w:r>
          </w:p>
        </w:tc>
        <w:tc>
          <w:tcPr/>
          <w:p>
            <w:r>
              <w:t xml:space="preserve">Customer/Account Sync, foundational account linking</w:t>
            </w:r>
          </w:p>
        </w:tc>
      </w:tr>
      <w:tr>
        <w:tc>
          <w:tcPr/>
          <w:p>
            <w:r>
              <w:t xml:space="preserve">Assets</w:t>
            </w:r>
          </w:p>
        </w:tc>
        <w:tc>
          <w:tcPr/>
          <w:p>
            <w:r>
              <w:t xml:space="preserve">✅ Available (April 21, 2026)</w:t>
            </w:r>
          </w:p>
        </w:tc>
        <w:tc>
          <w:tcPr/>
          <w:p>
            <w:r>
              <w:t xml:space="preserve">Asset/device sync from NinjaOne into Rev.io</w:t>
            </w:r>
          </w:p>
        </w:tc>
      </w:tr>
      <w:tr>
        <w:tc>
          <w:tcPr/>
          <w:p>
            <w:r>
              <w:t xml:space="preserve">Alert-to-Ticket</w:t>
            </w:r>
          </w:p>
        </w:tc>
        <w:tc>
          <w:tcPr/>
          <w:p>
            <w:r>
              <w:t xml:space="preserve">🔵 In Progress (target May 1, 2026)</w:t>
            </w:r>
          </w:p>
        </w:tc>
        <w:tc>
          <w:tcPr/>
          <w:p>
            <w:r>
              <w:t xml:space="preserve">NinjaOne alerts automatically create Rev.io tickets</w:t>
            </w:r>
          </w:p>
        </w:tc>
      </w:tr>
    </w:tbl>
    <w:p/>
    <w:p>
      <w:pPr>
        <w:pStyle w:val="Heading1"/>
        <w:spacing w:before="240" w:after="120"/>
      </w:pPr>
      <w:r>
        <w:t xml:space="preserve">7. Integrations</w:t>
      </w:r>
    </w:p>
    <w:p>
      <w:pPr>
        <w:pStyle w:val="Heading3"/>
        <w:spacing w:before="160" w:after="60"/>
      </w:pPr>
      <w:r>
        <w:t xml:space="preserve">Microsoft Teams</w:t>
      </w:r>
    </w:p>
    <w:p>
      <w:pPr/>
      <w:r>
        <w:t xml:space="preserve">Current State: Available. Microsoft Teams receives workflow notifications triggered by SLA breaches, ticket status changes, new ticket creation, calendar events, and 7+ additional trigger types. This is a notification and alert delivery integration. Bidirectional ticket creation from within Teams is not part of the current integration scope.</w:t>
      </w:r>
    </w:p>
    <w:p/>
    <w:p>
      <w:pPr>
        <w:pStyle w:val="Heading3"/>
        <w:spacing w:before="160" w:after="60"/>
      </w:pPr>
      <w:r>
        <w:t xml:space="preserve">IT Glue</w:t>
      </w:r>
    </w:p>
    <w:p>
      <w:pPr/>
      <w:r>
        <w:t xml:space="preserve">Current State: In development — targeted for release by June 30, 2026. Both phases are in active development:</w:t>
      </w:r>
    </w:p>
    <w:p>
      <w:pPr>
        <w:pStyle w:val="ListBullet"/>
      </w:pPr>
      <w:r>
        <w:t xml:space="preserve">Phase 1 — Account Sync: Create, Update, and Sync accounts between IT Glue and Rev.io (bidirectional). Currently 15% complete.</w:t>
      </w:r>
    </w:p>
    <w:p>
      <w:pPr>
        <w:pStyle w:val="ListBullet"/>
      </w:pPr>
      <w:r>
        <w:t xml:space="preserve">Phase 2 — Assets &amp; Passwords: Asset/Device Sync (bidirectional), Password/Credential Context surfaced within Rev.io tickets, Configuration/Network Documentation linking. Currently 15% complete.</w:t>
      </w:r>
    </w:p>
    <w:p/>
    <w:p>
      <w:pPr>
        <w:pStyle w:val="Heading3"/>
        <w:spacing w:before="160" w:after="60"/>
      </w:pPr>
      <w:r>
        <w:t xml:space="preserve">D-Tools</w:t>
      </w:r>
    </w:p>
    <w:p>
      <w:pPr/>
      <w:r>
        <w:t xml:space="preserve">Current State: In development — targeted for release by June 30, 2026. Phase 1 scope:</w:t>
      </w:r>
    </w:p>
    <w:p>
      <w:pPr>
        <w:pStyle w:val="ListBullet"/>
      </w:pPr>
      <w:r>
        <w:t xml:space="preserve">Customer/Account Sync (bidirectional)</w:t>
      </w:r>
    </w:p>
    <w:p>
      <w:pPr>
        <w:pStyle w:val="ListBullet"/>
      </w:pPr>
      <w:r>
        <w:t xml:space="preserve">Project/Quote Sync (D-Tools → Rev.io)</w:t>
      </w:r>
    </w:p>
    <w:p>
      <w:pPr>
        <w:pStyle w:val="ListBullet"/>
      </w:pPr>
      <w:r>
        <w:t xml:space="preserve">Product/BOM Sync (D-Tools → Rev.io) — directly addresses the assemblies/BOM question in Section 8</w:t>
      </w:r>
    </w:p>
    <w:p>
      <w:pPr>
        <w:pStyle w:val="ListBullet"/>
      </w:pPr>
      <w:r>
        <w:t xml:space="preserve">Installed Asset Sync (D-Tools → Rev.io)</w:t>
      </w:r>
    </w:p>
    <w:p>
      <w:pPr/>
      <w:r>
        <w:t xml:space="preserve">Phase 2 (deeper project integration) is planned for a subsequent release.</w:t>
      </w:r>
    </w:p>
    <w:p/>
    <w:p>
      <w:pPr>
        <w:ind w:left="360"/>
        <w:pBdr>
          <w:left w:val="single" w:sz="12" w:space="4" w:color="1667CC"/>
        </w:pBdr>
      </w:pPr>
      <w:r>
        <w:rPr>
          <w:b/>
          <w:sz w:val="18"/>
        </w:rPr>
        <w:t xml:space="preserve">Note on IT Glue and D-Tools Dates: </w:t>
      </w:r>
      <w:r>
        <w:rPr>
          <w:sz w:val="20"/>
        </w:rPr>
        <w:t xml:space="preserve">If these integrations are important to your decision, we recommend requesting written confirmation of the June 30 target from your account team and discussing whether a contractual milestone makes sense.</w:t>
      </w:r>
    </w:p>
    <w:p/>
    <w:p>
      <w:pPr>
        <w:pStyle w:val="Heading1"/>
        <w:spacing w:before="240" w:after="120"/>
      </w:pPr>
      <w:r>
        <w:t xml:space="preserve">8. Inventory / Procurement / Order Flow</w:t>
      </w:r>
    </w:p>
    <w:p>
      <w:pPr>
        <w:pStyle w:val="Heading3"/>
        <w:spacing w:before="160" w:after="60"/>
      </w:pPr>
      <w:r>
        <w:t xml:space="preserve">Assemblies (Single SKU with Multiple Component SKUs)</w:t>
      </w:r>
    </w:p>
    <w:p>
      <w:pPr/>
      <w:r>
        <w:t xml:space="preserve">Rev.io PSA does not currently support traditional bill-of-materials assemblies with automatic component-level inventory consumption. The Packages feature provides meaningful capability today:</w:t>
      </w:r>
    </w:p>
    <w:p>
      <w:pPr>
        <w:pStyle w:val="ListBullet"/>
      </w:pPr>
      <w:r>
        <w:t xml:space="preserve">Groups multiple products into a named bundle with Bill Profile and Rate Deck Group assignment</w:t>
      </w:r>
    </w:p>
    <w:p>
      <w:pPr>
        <w:pStyle w:val="ListBullet"/>
      </w:pPr>
      <w:r>
        <w:t xml:space="preserve">Display options: Bundled (single line on quote/invoice) or Itemized (each component visible)</w:t>
      </w:r>
    </w:p>
    <w:p>
      <w:pPr>
        <w:pStyle w:val="ListBullet"/>
      </w:pPr>
      <w:r>
        <w:t xml:space="preserve">Provider restrictions configurable per package</w:t>
      </w:r>
    </w:p>
    <w:p>
      <w:pPr/>
      <w:r>
        <w:t xml:space="preserve">Near-term expansion: The D-Tools integration (target June 30, 2026) specifically includes Product/BOM Sync, bringing bill-of-materials data from D-Tools into Rev.io.</w:t>
      </w:r>
    </w:p>
    <w:p/>
    <w:p>
      <w:pPr>
        <w:pStyle w:val="Heading3"/>
        <w:spacing w:before="160" w:after="60"/>
      </w:pPr>
      <w:r>
        <w:t xml:space="preserve">Ship-to Information on Vendor PO</w:t>
      </w:r>
    </w:p>
    <w:p>
      <w:pPr/>
      <w:r>
        <w:t xml:space="preserve">Now available. Rev.io PSA added Drop Ship Service Address Auto-Population for Purchase Orders in April 2026. When creating a Drop Ship PO from a ticket, the service address on the ticket is automatically pre-populated as the shipping destination on the PO. Users can override from a dropdown if needed. This directly addresses the pain point described from Tigerpaw.</w:t>
      </w:r>
    </w:p>
    <w:p/>
    <w:p>
      <w:pPr>
        <w:pStyle w:val="Heading3"/>
        <w:spacing w:before="160" w:after="60"/>
      </w:pPr>
      <w:r>
        <w:t xml:space="preserve">Warranty Information in Product Catalog</w:t>
      </w:r>
    </w:p>
    <w:p>
      <w:pPr/>
      <w:r>
        <w:t xml:space="preserve">Available today at the asset level. When a product is deployed to a customer and registered as a tracked asset, the asset record includes:</w:t>
      </w:r>
    </w:p>
    <w:p>
      <w:pPr>
        <w:pStyle w:val="ListBullet"/>
      </w:pPr>
      <w:r>
        <w:t xml:space="preserve">Manufacturer and Manufacturer Part Number</w:t>
      </w:r>
    </w:p>
    <w:p>
      <w:pPr>
        <w:pStyle w:val="ListBullet"/>
      </w:pPr>
      <w:r>
        <w:t xml:space="preserve">Manufacturer Warranty Expiration date</w:t>
      </w:r>
    </w:p>
    <w:p>
      <w:pPr>
        <w:pStyle w:val="ListBullet"/>
      </w:pPr>
      <w:r>
        <w:t xml:space="preserve">Purchase Provider, Purchase Order Number, Purchase Date</w:t>
      </w:r>
    </w:p>
    <w:p>
      <w:pPr>
        <w:pStyle w:val="ListBullet"/>
      </w:pPr>
      <w:r>
        <w:t xml:space="preserve">Last Service Date / Next Service Date</w:t>
      </w:r>
    </w:p>
    <w:p>
      <w:pPr/>
      <w:r>
        <w:t xml:space="preserve">Warranty Expiration Alerts (automated workflow notifications) are on the roadmap with PR/FAQ complete.</w:t>
      </w:r>
    </w:p>
    <w:p/>
    <w:p>
      <w:pPr>
        <w:pStyle w:val="Heading3"/>
        <w:spacing w:before="160" w:after="60"/>
      </w:pPr>
      <w:r>
        <w:t xml:space="preserve">SPA Expiration Tracking &amp; Renewal Management</w:t>
      </w:r>
    </w:p>
    <w:p>
      <w:pPr/>
      <w:r>
        <w:t xml:space="preserve">Available today via platform configuration. The following approach is used effectively by customers today:</w:t>
      </w:r>
    </w:p>
    <w:p>
      <w:pPr>
        <w:pStyle w:val="ListNumber"/>
      </w:pPr>
      <w:r>
        <w:t xml:space="preserve">Custom Fields — Add SPA Expiration Date, SPA Vendor, and SPA Type custom fields to Customer or Asset records via Admin → Custom Fields Manager</w:t>
      </w:r>
    </w:p>
    <w:p>
      <w:pPr>
        <w:pStyle w:val="ListNumber"/>
      </w:pPr>
      <w:r>
        <w:t xml:space="preserve">Workflow Automation — Create a workflow triggered by a date-based condition that fires X days before expiration, sending email, SMS, or Teams notifications to the account manager</w:t>
      </w:r>
    </w:p>
    <w:p>
      <w:pPr>
        <w:pStyle w:val="ListNumber"/>
      </w:pPr>
      <w:r>
        <w:t xml:space="preserve">Recurring Schedules — Create a recurring service ticket for renewal follow-up timed to fire before expiration</w:t>
      </w:r>
    </w:p>
    <w:p>
      <w:pPr>
        <w:pStyle w:val="ListNumber"/>
      </w:pPr>
      <w:r>
        <w:t xml:space="preserve">System Tags — Tag accounts with active SPAs for quick filtering and bulk visibility across the Customer List</w:t>
      </w:r>
    </w:p>
    <w:p/>
    <w:p>
      <w:pPr>
        <w:pStyle w:val="Heading1"/>
        <w:spacing w:before="240" w:after="120"/>
      </w:pPr>
      <w:r>
        <w:t xml:space="preserve">9. RMA Processing</w:t>
      </w:r>
    </w:p>
    <w:p>
      <w:pPr/>
      <w:r>
        <w:t xml:space="preserve">Current State: A dedicated RMA module is confirmed on the product roadmap, targeted for the Viking 1 release on August 1, 2026. The PR/FAQ specification is complete. The module will cover tracking product returns, replacements/exchanges, and repairs.</w:t>
      </w:r>
    </w:p>
    <w:p/>
    <w:p>
      <w:pPr>
        <w:pStyle w:val="Heading3"/>
        <w:spacing w:before="160" w:after="60"/>
      </w:pPr>
      <w:r>
        <w:t xml:space="preserve">Current Process for RMA Handling</w:t>
      </w:r>
    </w:p>
    <w:p>
      <w:pPr>
        <w:pStyle w:val="ListNumber"/>
      </w:pPr>
      <w:r>
        <w:t xml:space="preserve">Create a service ticket to initiate and track the return (ticket type can be labeled for RMA via macros)</w:t>
      </w:r>
    </w:p>
    <w:p>
      <w:pPr>
        <w:pStyle w:val="ListNumber"/>
      </w:pPr>
      <w:r>
        <w:t xml:space="preserve">Use the Parts &amp; Labor tab to document the returned item and replacement unit</w:t>
      </w:r>
    </w:p>
    <w:p>
      <w:pPr>
        <w:pStyle w:val="ListNumber"/>
      </w:pPr>
      <w:r>
        <w:t xml:space="preserve">Use Inventory Adjustment to remove the returned unit and add the replacement to stock</w:t>
      </w:r>
    </w:p>
    <w:p>
      <w:pPr>
        <w:pStyle w:val="ListNumber"/>
      </w:pPr>
      <w:r>
        <w:t xml:space="preserve">Update the Asset record with the replacement serial number and new warranty expiration date</w:t>
      </w:r>
    </w:p>
    <w:p>
      <w:pPr/>
      <w:r>
        <w:t xml:space="preserve">The asset record retains full ticket and notes history from the original unit. When the native RMA module ships, it will provide a structured, automated workflow for this entire process.</w:t>
      </w:r>
    </w:p>
    <w:p/>
    <w:p>
      <w:pPr>
        <w:pStyle w:val="Heading1"/>
        <w:spacing w:before="240" w:after="120"/>
      </w:pPr>
      <w:r>
        <w:t xml:space="preserve">10. Mobile / Barcode Scanning</w:t>
      </w:r>
    </w:p>
    <w:p>
      <w:pPr>
        <w:pStyle w:val="Heading3"/>
        <w:spacing w:before="160" w:after="60"/>
      </w:pPr>
      <w:r>
        <w:t xml:space="preserve">Current Mobile App Capabilities</w:t>
      </w:r>
    </w:p>
    <w:p>
      <w:pPr>
        <w:pStyle w:val="ListBullet"/>
      </w:pPr>
      <w:r>
        <w:t xml:space="preserve">GPS tracking for field technicians</w:t>
      </w:r>
    </w:p>
    <w:p>
      <w:pPr>
        <w:pStyle w:val="ListBullet"/>
      </w:pPr>
      <w:r>
        <w:t xml:space="preserve">Geofencing (500ft radius) with automatic arrival/departure note creation on tickets</w:t>
      </w:r>
    </w:p>
    <w:p>
      <w:pPr>
        <w:pStyle w:val="ListBullet"/>
      </w:pPr>
      <w:r>
        <w:t xml:space="preserve">Travel timer (automatic)</w:t>
      </w:r>
    </w:p>
    <w:p>
      <w:pPr>
        <w:pStyle w:val="ListBullet"/>
      </w:pPr>
      <w:r>
        <w:t xml:space="preserve">Product catalog view (online and offline)</w:t>
      </w:r>
    </w:p>
    <w:p>
      <w:pPr>
        <w:pStyle w:val="ListBullet"/>
      </w:pPr>
      <w:r>
        <w:t xml:space="preserve">Customer and contacts view</w:t>
      </w:r>
    </w:p>
    <w:p>
      <w:pPr>
        <w:pStyle w:val="ListBullet"/>
      </w:pPr>
      <w:r>
        <w:t xml:space="preserve">Revii voice interface (hands-free AI assistant)</w:t>
      </w:r>
    </w:p>
    <w:p>
      <w:pPr>
        <w:pStyle w:val="ListBullet"/>
      </w:pPr>
      <w:r>
        <w:t xml:space="preserve">Offline access for customer and catalog data</w:t>
      </w:r>
    </w:p>
    <w:p/>
    <w:p>
      <w:pPr>
        <w:pStyle w:val="Heading3"/>
        <w:spacing w:before="160" w:after="60"/>
      </w:pPr>
      <w:r>
        <w:t xml:space="preserve">Barcode / QR Code Scanning</w:t>
      </w:r>
    </w:p>
    <w:p>
      <w:pPr/>
      <w:r>
        <w:t xml:space="preserve">On the roadmap for release within the next few months. The mobile roadmap includes Inventory Management with barcode scanning — adjusting quantities, scanning inventory into stock, and reserving serialized items via scanning. This is confirmed in the Apollo 3 release, not a speculative future consideration.</w:t>
      </w:r>
    </w:p>
    <w:p/>
    <w:p>
      <w:pPr>
        <w:pStyle w:val="Heading1"/>
        <w:spacing w:before="240" w:after="120"/>
      </w:pPr>
      <w:r>
        <w:t xml:space="preserve">11. Security / Permissions (RBAC)</w:t>
      </w:r>
    </w:p>
    <w:p>
      <w:pPr/>
      <w:r>
        <w:t xml:space="preserve">Role-Based Access Control (RBAC) is natively available in Rev.io PSA today. Every user is assigned a role, and each role carries a granular permission matrix controlling exactly what that user can see and do. This is fine-grained feature-level control, not broad module-level on/off switches.</w:t>
      </w:r>
    </w:p>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Element</w:t>
            </w:r>
          </w:p>
        </w:tc>
        <w:tc>
          <w:tcPr>
            <w:shd w:val="clear" w:color="auto" w:fill="1667CC"/>
          </w:tcPr>
          <w:p>
            <w:r>
              <w:rPr>
                <w:b/>
                <w:color w:val="FFFFFF"/>
              </w:rPr>
              <w:t xml:space="preserve">Detail</w:t>
            </w:r>
          </w:p>
        </w:tc>
      </w:tr>
      <w:tr>
        <w:tc>
          <w:tcPr/>
          <w:p>
            <w:r>
              <w:t xml:space="preserve">Number of roles</w:t>
            </w:r>
          </w:p>
        </w:tc>
        <w:tc>
          <w:tcPr/>
          <w:p>
            <w:r>
              <w:t xml:space="preserve">4 configurable roles; ongoing RBAC enhancements in active development</w:t>
            </w:r>
          </w:p>
        </w:tc>
      </w:tr>
      <w:tr>
        <w:tc>
          <w:tcPr/>
          <w:p>
            <w:r>
              <w:t xml:space="preserve">Permission categories</w:t>
            </w:r>
          </w:p>
        </w:tc>
        <w:tc>
          <w:tcPr/>
          <w:p>
            <w:r>
              <w:t xml:space="preserve">15+ categories covering all major modules</w:t>
            </w:r>
          </w:p>
        </w:tc>
      </w:tr>
      <w:tr>
        <w:tc>
          <w:tcPr/>
          <w:p>
            <w:r>
              <w:t xml:space="preserve">Permission granularity</w:t>
            </w:r>
          </w:p>
        </w:tc>
        <w:tc>
          <w:tcPr/>
          <w:p>
            <w:r>
              <w:t xml:space="preserve">Individual checkbox controls per feature area</w:t>
            </w:r>
          </w:p>
        </w:tc>
      </w:tr>
      <w:tr>
        <w:tc>
          <w:tcPr/>
          <w:p>
            <w:r>
              <w:t xml:space="preserve">AI access control</w:t>
            </w:r>
          </w:p>
        </w:tc>
        <w:tc>
          <w:tcPr/>
          <w:p>
            <w:r>
              <w:t xml:space="preserve">Dedicated Revii Data Analytics Mode toggle per role</w:t>
            </w:r>
          </w:p>
        </w:tc>
      </w:tr>
      <w:tr>
        <w:tc>
          <w:tcPr/>
          <w:p>
            <w:r>
              <w:t xml:space="preserve">Inventory RBAC</w:t>
            </w:r>
          </w:p>
        </w:tc>
        <w:tc>
          <w:tcPr/>
          <w:p>
            <w:r>
              <w:t xml:space="preserve">Role-based controls for inventory actions (released December 2025)</w:t>
            </w:r>
          </w:p>
        </w:tc>
      </w:tr>
      <w:tr>
        <w:tc>
          <w:tcPr/>
          <w:p>
            <w:r>
              <w:t xml:space="preserve">User groups</w:t>
            </w:r>
          </w:p>
        </w:tc>
        <w:tc>
          <w:tcPr/>
          <w:p>
            <w:r>
              <w:t xml:space="preserve">Technicians organized into groups (e.g., Tier 1, Tier 2) for routing and dispatch</w:t>
            </w:r>
          </w:p>
        </w:tc>
      </w:tr>
      <w:tr>
        <w:tc>
          <w:tcPr/>
          <w:p>
            <w:r>
              <w:t xml:space="preserve">User capacity</w:t>
            </w:r>
          </w:p>
        </w:tc>
        <w:tc>
          <w:tcPr/>
          <w:p>
            <w:r>
              <w:t xml:space="preserve">100+ user records; SSO integration planned for future release</w:t>
            </w:r>
          </w:p>
        </w:tc>
      </w:tr>
    </w:tbl>
    <w:p/>
    <w:p>
      <w:pPr>
        <w:pStyle w:val="Heading1"/>
        <w:spacing w:before="240" w:after="120"/>
      </w:pPr>
      <w:r>
        <w:t xml:space="preserve">12. CommerceHub</w:t>
      </w:r>
    </w:p>
    <w:p>
      <w:pPr>
        <w:pStyle w:val="Heading3"/>
        <w:spacing w:before="160" w:after="60"/>
      </w:pPr>
      <w:r>
        <w:t xml:space="preserve">What CommerceHub Does Today</w:t>
      </w:r>
    </w:p>
    <w:p>
      <w:pPr>
        <w:pStyle w:val="ListBullet"/>
      </w:pPr>
      <w:r>
        <w:t xml:space="preserve">Partners Directory — curated vendor and technology partner directory with grid/list views, search, sort, and category filtering</w:t>
      </w:r>
    </w:p>
    <w:p>
      <w:pPr>
        <w:pStyle w:val="ListBullet"/>
      </w:pPr>
      <w:r>
        <w:t xml:space="preserve">Vendor Profiles — detailed per-partner pages with product/service listings and Contact Partner function</w:t>
      </w:r>
    </w:p>
    <w:p>
      <w:pPr>
        <w:pStyle w:val="ListBullet"/>
      </w:pPr>
      <w:r>
        <w:t xml:space="preserve">Vendor Management — multi-part form to onboard new vendors (company, contacts, legal, products)</w:t>
      </w:r>
    </w:p>
    <w:p/>
    <w:p>
      <w:pPr>
        <w:pStyle w:val="Heading3"/>
        <w:spacing w:before="160" w:after="60"/>
      </w:pPr>
      <w:r>
        <w:t xml:space="preserve">What's Coming to CommerceHub (Apollo 3 — Target May–June 2026)</w:t>
      </w:r>
    </w:p>
    <w:p>
      <w:pPr/>
      <w:r>
        <w:t xml:space="preserve">This is a significant expansion directly relevant to your procurement and distributor questions:</w:t>
      </w:r>
    </w:p>
    <w:p>
      <w:pPr>
        <w:pStyle w:val="ListBullet"/>
      </w:pPr>
      <w:r>
        <w:t xml:space="preserve">Revised Marketplace Directory (50% complete, target May 31, 2026) — Enhanced multi-marketplace layout showing distributor connection status, product counts, and vendor CTAs</w:t>
      </w:r>
    </w:p>
    <w:p>
      <w:pPr>
        <w:pStyle w:val="ListBullet"/>
      </w:pPr>
      <w:r>
        <w:t xml:space="preserve">Ingram Micro Integration — Product Catalog Sync, PO Sync (Rev.io → Ingram), Order Status / Tracking (Ingram → Rev.io). Currently 70% complete.</w:t>
      </w:r>
    </w:p>
    <w:p>
      <w:pPr>
        <w:pStyle w:val="ListBullet"/>
      </w:pPr>
      <w:r>
        <w:t xml:space="preserve">TD Synnex Integration — Same scope: Product Catalog Sync, PO Sync, Order Status / Tracking. Currently 5% complete.</w:t>
      </w:r>
    </w:p>
    <w:p>
      <w:pPr>
        <w:pStyle w:val="ListBullet"/>
      </w:pPr>
      <w:r>
        <w:t xml:space="preserve">Pax8 Catalog Integration — Live API integration with Pax8's full product catalog including SKU metadata and MSRP pricing</w:t>
      </w:r>
    </w:p>
    <w:p>
      <w:pPr>
        <w:pStyle w:val="ListBullet"/>
      </w:pPr>
      <w:r>
        <w:t xml:space="preserve">Interactive Pricing Configurator — Toggle through pricing permutations per SKU with live price updates</w:t>
      </w:r>
    </w:p>
    <w:p>
      <w:pPr>
        <w:pStyle w:val="ListBullet"/>
      </w:pPr>
      <w:r>
        <w:t xml:space="preserve">PSA Quote Creation from Commerce Hub — Push Commerce Hub line items directly into a PSA quote for a selected customer</w:t>
      </w:r>
    </w:p>
    <w:p>
      <w:pPr>
        <w:pStyle w:val="ListBullet"/>
      </w:pPr>
      <w:r>
        <w:t xml:space="preserve">Quote Approval to Distributor Order — When a customer approves a PSA quote, automatically submit the order to the distributor API</w:t>
      </w:r>
    </w:p>
    <w:p/>
    <w:p>
      <w:pPr/>
      <w:r>
        <w:t xml:space="preserve">The distributor catalog lookup, purchasing workflow, pricing visibility, and PO-to-distributor submission capabilities you asked about are actively in development and targeted for the current release cycle.</w:t>
      </w:r>
    </w:p>
    <w:p/>
    <w:p>
      <w:pPr>
        <w:pStyle w:val="Heading1"/>
        <w:spacing w:before="240" w:after="120"/>
      </w:pPr>
      <w:r>
        <w:t xml:space="preserve">13. Demo Environment / Access Questions</w:t>
      </w:r>
    </w:p>
    <w:p>
      <w:pPr>
        <w:pStyle w:val="Heading3"/>
        <w:spacing w:before="160" w:after="60"/>
      </w:pPr>
      <w:r>
        <w:t xml:space="preserve">Acronis / MSP Functions in the Demo</w:t>
      </w:r>
    </w:p>
    <w:p>
      <w:pPr/>
      <w:r>
        <w:t xml:space="preserve">Navigate to any Customer record → Overview tab → Integrations sub-tab. The Acronis integration appears there with connection status. Core MSP service delivery lives throughout the Service, Scheduling, and Inventory modules.</w:t>
      </w:r>
    </w:p>
    <w:p>
      <w:pPr>
        <w:pStyle w:val="Heading3"/>
        <w:spacing w:before="160" w:after="60"/>
      </w:pPr>
      <w:r>
        <w:t xml:space="preserve">Reporting &amp; Dashboards Not Accessible</w:t>
      </w:r>
    </w:p>
    <w:p>
      <w:pPr/>
      <w:r>
        <w:t xml:space="preserve">This is a permissions configuration issue, not a missing feature. Requesting that your demo user account be granted Analytics access will resolve this. Available dashboards: Service Dashboard, Revenue Analysis, Profit by Technician, Inventory Levels, Inventory Valuation, Inventory Aging, Stock Movement &amp; Transactions, Tax Details, Pick List, Reserved vs. Available Stock. SQL Lab and Revii "Chat With Your Data" are also available.</w:t>
      </w:r>
    </w:p>
    <w:p>
      <w:pPr>
        <w:pStyle w:val="Heading3"/>
        <w:spacing w:before="160" w:after="60"/>
      </w:pPr>
      <w:r>
        <w:t xml:space="preserve">Demo Environment With Sample Data</w:t>
      </w:r>
    </w:p>
    <w:p>
      <w:pPr/>
      <w:r>
        <w:t xml:space="preserve">The standard demo environment (psasalesdemo.psarev.io) includes 200+ customers, 115+ products, 498+ time entries, 1,121+ inventory transactions, 10 active projects, and 30+ opportunities. If your access was to a blank environment, your sales team can provide the standard populated demo credentials.</w:t>
      </w:r>
    </w:p>
    <w:p>
      <w:pPr>
        <w:pStyle w:val="Heading3"/>
        <w:spacing w:before="160" w:after="60"/>
      </w:pPr>
      <w:r>
        <w:t xml:space="preserve">Distributor / Product Lookup</w:t>
      </w:r>
    </w:p>
    <w:p>
      <w:pPr/>
      <w:r>
        <w:t xml:space="preserve">Commerce Hub contains today's partner/vendor directory. Live distributor catalog lookup with pricing is coming via the Ingram Micro, TD Synnex, and Pax8 integrations in Apollo 3 (see Section 12).</w:t>
      </w:r>
    </w:p>
    <w:p>
      <w:pPr>
        <w:pStyle w:val="Heading3"/>
        <w:spacing w:before="160" w:after="60"/>
      </w:pPr>
      <w:r>
        <w:t xml:space="preserve">Warranty Information When Adding a Product</w:t>
      </w:r>
    </w:p>
    <w:p>
      <w:pPr/>
      <w:r>
        <w:t xml:space="preserve">Warranty tracking is at the individual asset (serialized instance) level. The product catalog SKU does not include a warranty field. When a product is deployed and registered as an asset, the asset record includes Manufacturer Warranty Exp, Purchase Date, and all related manufacturer fields.</w:t>
      </w:r>
    </w:p>
    <w:p>
      <w:pPr>
        <w:pStyle w:val="Heading3"/>
        <w:spacing w:before="160" w:after="60"/>
      </w:pPr>
      <w:r>
        <w:t xml:space="preserve">What Is a "Package"?</w:t>
      </w:r>
    </w:p>
    <w:p>
      <w:pPr/>
      <w:r>
        <w:t xml:space="preserve">A Package is a bundled product grouping. It combines multiple products — recurring services, one-time items, equipment — into a named bundle that can be quoted and sold as a unit. Display can be Bundled (single line) or Itemized (each component visible). Packages are configured with Bill Profile, Rate Deck Group, and provider restrictions.</w:t>
      </w:r>
    </w:p>
    <w:p>
      <w:pPr>
        <w:pStyle w:val="Heading3"/>
        <w:spacing w:before="160" w:after="60"/>
      </w:pPr>
      <w:r>
        <w:t xml:space="preserve">What Are Macros?</w:t>
      </w:r>
    </w:p>
    <w:p>
      <w:pPr/>
      <w:r>
        <w:t xml:space="preserve">Macros are pre-configured ticket and activity templates. New Ticket Macros (examples: Access Control Installation, Emergency On-Site, Network Down, Password Reset, UCaaS Deployment, VPN Access Issue) pre-fill the full ticket in a single click. Activity Macros pre-fill common note entries, status changes, and technician reassignments on existing tickets. Managed in Admin → System Settings → Macros.</w:t>
      </w:r>
    </w:p>
    <w:p>
      <w:pPr>
        <w:pStyle w:val="Heading3"/>
        <w:spacing w:before="160" w:after="60"/>
      </w:pPr>
      <w:r>
        <w:t xml:space="preserve">Customer Portal</w:t>
      </w:r>
    </w:p>
    <w:p>
      <w:pPr/>
      <w:r>
        <w:t xml:space="preserve">Available today: view and pay invoices, update payment methods, submit new service tickets, view open ticket status and public notes. Portal features are individually toggled per customer. An Enhanced Customer Portal with configurable branding and document management is planned for Viking 1.</w:t>
      </w:r>
    </w:p>
    <w:p/>
    <w:p>
      <w:pPr>
        <w:pStyle w:val="Heading1"/>
        <w:spacing w:before="240" w:after="120"/>
      </w:pPr>
      <w:r>
        <w:t xml:space="preserve">14. Customer References</w:t>
      </w:r>
    </w:p>
    <w:p>
      <w:pPr/>
      <w:r>
        <w:t xml:space="preserve">We are pleased to connect Fusion Digital with 2–3 customer references that align with your profile, prioritizing organizations with:</w:t>
      </w:r>
    </w:p>
    <w:p>
      <w:pPr>
        <w:pStyle w:val="ListBullet"/>
      </w:pPr>
      <w:r>
        <w:t xml:space="preserve">Migration from Tigerpaw or legacy Rev.io environments</w:t>
      </w:r>
    </w:p>
    <w:p>
      <w:pPr>
        <w:pStyle w:val="ListBullet"/>
      </w:pPr>
      <w:r>
        <w:t xml:space="preserve">Hybrid IT + service + project operations</w:t>
      </w:r>
    </w:p>
    <w:p>
      <w:pPr>
        <w:pStyle w:val="ListBullet"/>
      </w:pPr>
      <w:r>
        <w:t xml:space="preserve">Hardware procurement / inventory complexity</w:t>
      </w:r>
    </w:p>
    <w:p>
      <w:pPr>
        <w:pStyle w:val="ListBullet"/>
      </w:pPr>
      <w:r>
        <w:t xml:space="preserve">MSP operations</w:t>
      </w:r>
    </w:p>
    <w:p>
      <w:pPr/>
      <w:r>
        <w:t xml:space="preserve">[Reference contacts to be provided by your account team]</w:t>
      </w:r>
    </w:p>
    <w:p/>
    <w:p>
      <w:pPr>
        <w:pStyle w:val="Heading1"/>
        <w:spacing w:before="240" w:after="120"/>
      </w:pPr>
      <w:r>
        <w:t xml:space="preserve">Summary: Open Items for Account Team Confirmation</w:t>
      </w:r>
    </w:p>
    <w:tbl>
      <w:tblPr>
        <w:tblW w:w="9360" w:type="dxa"/>
        <w:tblBorders>
          <w:top w:val="single" w:sz="4" w:space="0" w:color="C8D9F0"/>
          <w:left w:val="single" w:sz="4" w:space="0" w:color="C8D9F0"/>
          <w:bottom w:val="single" w:sz="4" w:space="0" w:color="C8D9F0"/>
          <w:right w:val="single" w:sz="4" w:space="0" w:color="C8D9F0"/>
          <w:insideH w:val="single" w:sz="4" w:space="0" w:color="C8D9F0"/>
          <w:insideV w:val="single" w:sz="4" w:space="0" w:color="C8D9F0"/>
        </w:tblBorders>
      </w:tblPr>
      <w:tr>
        <w:tc>
          <w:tcPr>
            <w:shd w:val="clear" w:color="auto" w:fill="1667CC"/>
          </w:tcPr>
          <w:p>
            <w:r>
              <w:rPr>
                <w:b/>
                <w:color w:val="FFFFFF"/>
              </w:rPr>
              <w:t xml:space="preserve">#</w:t>
            </w:r>
          </w:p>
        </w:tc>
        <w:tc>
          <w:tcPr>
            <w:shd w:val="clear" w:color="auto" w:fill="1667CC"/>
          </w:tcPr>
          <w:p>
            <w:r>
              <w:rPr>
                <w:b/>
                <w:color w:val="FFFFFF"/>
              </w:rPr>
              <w:t xml:space="preserve">Topic</w:t>
            </w:r>
          </w:p>
        </w:tc>
        <w:tc>
          <w:tcPr>
            <w:shd w:val="clear" w:color="auto" w:fill="1667CC"/>
          </w:tcPr>
          <w:p>
            <w:r>
              <w:rPr>
                <w:b/>
                <w:color w:val="FFFFFF"/>
              </w:rPr>
              <w:t xml:space="preserve">What Needs Confirmation</w:t>
            </w:r>
          </w:p>
        </w:tc>
      </w:tr>
      <w:tr>
        <w:tc>
          <w:tcPr/>
          <w:p>
            <w:r>
              <w:t xml:space="preserve">1</w:t>
            </w:r>
          </w:p>
        </w:tc>
        <w:tc>
          <w:tcPr/>
          <w:p>
            <w:r>
              <w:t xml:space="preserve">Commission reporting</w:t>
            </w:r>
          </w:p>
        </w:tc>
        <w:tc>
          <w:tcPr/>
          <w:p>
            <w:r>
              <w:t xml:space="preserve">Expected sprint / committed delivery date for Agents &amp; Commissions module</w:t>
            </w:r>
          </w:p>
        </w:tc>
      </w:tr>
      <w:tr>
        <w:tc>
          <w:tcPr/>
          <w:p>
            <w:r>
              <w:t xml:space="preserve">2</w:t>
            </w:r>
          </w:p>
        </w:tc>
        <w:tc>
          <w:tcPr/>
          <w:p>
            <w:r>
              <w:t xml:space="preserve">Report scheduling</w:t>
            </w:r>
          </w:p>
        </w:tc>
        <w:tc>
          <w:tcPr/>
          <w:p>
            <w:r>
              <w:t xml:space="preserve">RESOLVED: Available today via reporting tools</w:t>
            </w:r>
          </w:p>
        </w:tc>
      </w:tr>
      <w:tr>
        <w:tc>
          <w:tcPr/>
          <w:p>
            <w:r>
              <w:t xml:space="preserve">2</w:t>
            </w:r>
          </w:p>
        </w:tc>
        <w:tc>
          <w:tcPr/>
          <w:p>
            <w:r>
              <w:t xml:space="preserve">Change orders</w:t>
            </w:r>
          </w:p>
        </w:tc>
        <w:tc>
          <w:tcPr/>
          <w:p>
            <w:r>
              <w:t xml:space="preserve">In development — targeted within 6 months; quote versioning available today</w:t>
            </w:r>
          </w:p>
        </w:tc>
      </w:tr>
      <w:tr>
        <w:tc>
          <w:tcPr/>
          <w:p>
            <w:r>
              <w:t xml:space="preserve">2</w:t>
            </w:r>
          </w:p>
        </w:tc>
        <w:tc>
          <w:tcPr/>
          <w:p>
            <w:r>
              <w:t xml:space="preserve">Change orders</w:t>
            </w:r>
          </w:p>
        </w:tc>
        <w:tc>
          <w:tcPr/>
          <w:p>
            <w:r>
              <w:t xml:space="preserve">Formal change order workflow — supported today or roadmap item?</w:t>
            </w:r>
          </w:p>
        </w:tc>
      </w:tr>
      <w:tr>
        <w:tc>
          <w:tcPr/>
          <w:p>
            <w:r>
              <w:t xml:space="preserve">3</w:t>
            </w:r>
          </w:p>
        </w:tc>
        <w:tc>
          <w:tcPr/>
          <w:p>
            <w:r>
              <w:t xml:space="preserve">Pricing / contract terms</w:t>
            </w:r>
          </w:p>
        </w:tc>
        <w:tc>
          <w:tcPr/>
          <w:p>
            <w:r>
              <w:t xml:space="preserve">Full pricing responses required from sales leadership — see Section 3</w:t>
            </w:r>
          </w:p>
        </w:tc>
      </w:tr>
      <w:tr>
        <w:tc>
          <w:tcPr/>
          <w:p>
            <w:r>
              <w:t xml:space="preserve">4</w:t>
            </w:r>
          </w:p>
        </w:tc>
        <w:tc>
          <w:tcPr/>
          <w:p>
            <w:r>
              <w:t xml:space="preserve">QBO — additional fields</w:t>
            </w:r>
          </w:p>
        </w:tc>
        <w:tc>
          <w:tcPr/>
          <w:p>
            <w:r>
              <w:t xml:space="preserve">RESOLVED: All items confirmed on roadmap and in scope</w:t>
            </w:r>
          </w:p>
        </w:tc>
      </w:tr>
      <w:tr>
        <w:tc>
          <w:tcPr/>
          <w:p>
            <w:r>
              <w:t xml:space="preserve">5</w:t>
            </w:r>
          </w:p>
        </w:tc>
        <w:tc>
          <w:tcPr/>
          <w:p>
            <w:r>
              <w:t xml:space="preserve">Tigerpaw migration</w:t>
            </w:r>
          </w:p>
        </w:tc>
        <w:tc>
          <w:tcPr/>
          <w:p>
            <w:r>
              <w:t xml:space="preserve">RESOLVED: Available now</w:t>
            </w:r>
          </w:p>
        </w:tc>
      </w:tr>
      <w:tr>
        <w:tc>
          <w:tcPr/>
          <w:p>
            <w:r>
              <w:t xml:space="preserve">9</w:t>
            </w:r>
          </w:p>
        </w:tc>
        <w:tc>
          <w:tcPr/>
          <w:p>
            <w:r>
              <w:t xml:space="preserve">RMA module ETA</w:t>
            </w:r>
          </w:p>
        </w:tc>
        <w:tc>
          <w:tcPr/>
          <w:p>
            <w:r>
              <w:t xml:space="preserve">RESOLVED: Viking 1 release targeted August 1, 2026</w:t>
            </w:r>
          </w:p>
        </w:tc>
      </w:tr>
      <w:tr>
        <w:tc>
          <w:tcPr/>
          <w:p>
            <w:r>
              <w:t xml:space="preserve">10</w:t>
            </w:r>
          </w:p>
        </w:tc>
        <w:tc>
          <w:tcPr/>
          <w:p>
            <w:r>
              <w:t xml:space="preserve">Mobile app</w:t>
            </w:r>
          </w:p>
        </w:tc>
        <w:tc>
          <w:tcPr/>
          <w:p>
            <w:r>
              <w:t xml:space="preserve">RESOLVED: Full feature parity with Tigerpaw app + GPS, geofencing, Revii voice AI</w:t>
            </w:r>
          </w:p>
        </w:tc>
      </w:tr>
      <w:tr>
        <w:tc>
          <w:tcPr/>
          <w:p>
            <w:r>
              <w:t xml:space="preserve">14</w:t>
            </w:r>
          </w:p>
        </w:tc>
        <w:tc>
          <w:tcPr/>
          <w:p>
            <w:r>
              <w:t xml:space="preserve">References</w:t>
            </w:r>
          </w:p>
        </w:tc>
        <w:tc>
          <w:tcPr/>
          <w:p>
            <w:r>
              <w:t xml:space="preserve">2–3 reference customers matching Fusion Digital's profile</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styleId="Normal">
    <w:name w:val="Normal"/>
    <w:rPr>
      <w:sz w:val="22"/>
      <w:szCs w:val="22"/>
    </w:rPr>
  </w:style>
  <w:style w:type="paragraph" w:styleId="Title">
    <w:name w:val="Title"/>
    <w:pPr>
      <w:spacing w:after="120"/>
    </w:pPr>
    <w:rPr>
      <w:b/>
      <w:color w:val="1667CC"/>
      <w:sz w:val="48"/>
      <w:szCs w:val="48"/>
    </w:rPr>
  </w:style>
  <w:style w:type="paragraph" w:styleId="Heading1">
    <w:name w:val="heading 1"/>
    <w:pPr>
      <w:spacing w:before="360" w:after="120"/>
      <w:pBdr>
        <w:bottom w:val="single" w:sz="6" w:space="1" w:color="1667CC"/>
      </w:pBdr>
    </w:pPr>
    <w:rPr>
      <w:b/>
      <w:color w:val="1667CC"/>
      <w:sz w:val="32"/>
      <w:szCs w:val="32"/>
    </w:rPr>
  </w:style>
  <w:style w:type="paragraph" w:styleId="Heading2">
    <w:name w:val="heading 2"/>
    <w:pPr>
      <w:spacing w:before="280" w:after="80"/>
    </w:pPr>
    <w:rPr>
      <w:b/>
      <w:color w:val="0f4c99"/>
      <w:sz w:val="28"/>
      <w:szCs w:val="28"/>
    </w:rPr>
  </w:style>
  <w:style w:type="paragraph" w:styleId="Heading3">
    <w:name w:val="heading 3"/>
    <w:pPr>
      <w:spacing w:before="200" w:after="60"/>
    </w:pPr>
    <w:rPr>
      <w:b/>
      <w:color w:val="1667CC"/>
      <w:sz w:val="24"/>
      <w:szCs w:val="24"/>
    </w:rPr>
  </w:style>
  <w:style w:type="paragraph" w:styleId="ListBullet">
    <w:name w:val="List Bullet"/>
    <w:pPr>
      <w:numPr>
        <w:ilvl w:val="0"/>
        <w:numId w:val="1"/>
      </w:numPr>
      <w:spacing w:after="40"/>
    </w:pPr>
    <w:rPr>
      <w:sz w:val="22"/>
    </w:rPr>
  </w:style>
  <w:style w:type="paragraph" w:styleId="ListNumber">
    <w:name w:val="List Number"/>
    <w:pPr>
      <w:numPr>
        <w:ilvl w:val="0"/>
        <w:numId w:val="2"/>
      </w:numPr>
      <w:spacing w:after="40"/>
    </w:pPr>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