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Комплексное исследование рынка купли-продажи машино-мест в России: Стратегический прогноз на 2026–2030 годы</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Ландшафт рынка и ключевые игроки: Трансформация парковочного пространства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Российский рынок купли-продажи машино-мест подошел к рубежу 2026 года в состоянии глубокой структурной трансформации. Исторически сложившаяся парадигма, в которой паркинг воспринимался исключительно как низкомаржинальная, но нормативно обязательная инфраструктурная нагрузка на девелопера, окончательно утратила актуальность. На фоне изменения макроэкономического климата, ужесточения градостроительного регулирования и устойчивой динамики автомобилизации населения, сегмент парковочных пространств выделился в самостоятельный, высоколиквидный и капиталоемкий класс недвижимости. Текущая архитектура рынка характеризуется выраженным дисбалансом спроса и предложения, что провоцирует беспрецедентный рост ценовых метрик и заставляет ключевых игроков пересматривать стратегии монетизации квадратного метра.</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Динамика цен: Фундаментальный отрыв от рынка жилой недвижимости</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Анализ ценовых показателей за период 2024–2025 годов раскрывает картину аномального перегрева в сегменте инфраструктурной недвижимости, который существенно опережает темпы роста стоимости классического жилья. По итогам 2025 года средний бюджет приобретения машино-места в российских городах-миллионниках зафиксировался на отметке в 1,3 миллиона рублей, что свидетельствует о стремительном росте на 20% по отношению к аналогичным показателям предшествующего 2024 года.</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Динамика в городах с населением менее одного миллиона человек также демонстрирует уверенный повышательный тренд: стоимость лота в организованном паркинге там увеличилась на 10% за год, достигнув уровня в 1,1 миллиона рублей.</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глубокого понимания рыночных процессов необходимо сопоставить эти цифры с динамикой рынка жилой недвижимости. В тот же временной период, охватывающий 2024–2025 годы, стоимость квартир в российских агломерациях показала куда более сдержанный рост, варьирующийся в пределах 7–9%.</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Подобный рассинхрон в темпах удорожания активов указывает на то, что машино-места абсорбируют на себя дополнительный инвестиционный и потребительский спрос, стимулируемый локальным инфраструктурным голодом.</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Категория недвижимости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Средний чек (2024 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Средний чек (2025 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Темп годового прироста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Машино-места (Города-миллионники)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1 083 000 руб. (расчетно)</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1 300 000 руб.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Машино-места (Города &lt; 1 млн чел.)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1 000 000 руб.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1 100 000 руб.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Жилая недвижимость (Квартиры)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Варьируется по классам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Варьируется по классам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+7–9%</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Важнейшим индикатором, определяющим покупательную способность и эластичность спроса, является доля стоимости паркинга в общей структуре затрат на приобретение недвижимости. Аналитические данные свидетельствуют, что в среднем по рынку бюджет на покупку машино-места составляет около 17% от стоимости приобретаемой квартиры.</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Данный финансовый барьер является критическим фактором, отсекающим значительную часть целевой аудитории масс-маркета на первичном этапе сделки, что впоследствии переносит отложенный спрос на вторичный рынок или в сферу аренды.</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Степень проникновения организованных парковочных решений крайне неравномерна. Свыше 60% современных жилых комплексов, возводимых в городах с населением более 500 тысяч человек, проектируются с учетом подземных или многоуровневых наземных паркингов.</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Однако в оставшихся 40% проектов, преимущественно относящихся к жесткому эконом-классу, покупатели вынуждены полагаться исключительно на ограниченные ресурсы придомовой территории.</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По состоянию на декабрь 2025 года, наиболее высокая концентрация проектов с организованным паркингом наблюдается в строящихся комплексах Барнаула (95%), Владивостока (92%), Москвы (87%), Ставрополя (86%), а также Казани и Ростова-на-Дону (по 82%).</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На противоположном конце спектра находятся Балашиха, Ярославль и Ульяновск, где организованные парковочные пространства присутствуют менее чем в 15% возводимых объектов.</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Коэффициент обеспеченности машино-местами, рассчитываемый как отношение числа доступных парковочных лотов к общему числу квартир в жилом комплексе, выступает главным предиктором локального дефицита. В проектах, оборудованных паркингами, этот показатель в среднем по стране составляет 36 машино-мест на каждые 100 квартир.</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Лидирующие позиции по данному индикатору занимают Тольятти и Самара (по 66 мест на 100 квартир), Казань (65) и Севастополь (62).</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В то же время, критическая нехватка инфраструктуры наблюдается в Омске (22 места), Ижевске (18), Махачкале (17), Новокузнецке (15), Оренбурге (12) и достигает абсолютного минимума в подмосковной Балашихе, где на 100 квартир проектируется всего 4 машино-места.</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Столь радикальная дифференциация объясняется различиями в региональных градостроительных нормативах, строгости контроля за их соблюдением, преобладающем классе возводимого жилья, а также уровне платежеспособности локального населения.</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Стратегии реализации паркингов: Анализ ТОП-5 девелоперов</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Крупнейшие игроки российского рынка недвижимости формируют собственные, уникальные парадигмы монетизации парковочных пространств. Стратегия каждого девелопера продиктована его позиционированием в определенном ценовом сегменте, технологическими возможностями и применяемыми финансовыми моделями проектного финансирования.</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Группа компаний ПИК, являясь абсолютным лидером в сегменте индустриального домостроения и масс-маркета, выстраивает стратегию вокруг минимизации себестоимости строительства и концепции закрытого дворового пространства («двор без машин»). Девелопер преимущественно отказывается от дорогостоящих в реализации подземных уровней в пользу строительства отдельно стоящих многоярусных наземных паркингов на периферии жилых микрорайонов. Такая конфигурация позволяет радикально снизить затраты на гидроизоляцию, сложные системы вентиляции и пожаротушения. Процесс реализации машино-мест полностью интегрирован в проприетарную цифровую экосистему девелопера, где используется модель динамического ценообразования. Лоты реализуются с применением пакетных скидок («квартира + паркинг») на этапе низкой строительной готовности, что позволяет компании быстро генерировать денежный поток на эскроу-счета.</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Группа «Самолет» концентрирует свои усилия на глубокой финансовой инженерии продукта. Понимая, что целевая аудитория комфорт-класса обладает ограниченным запасом свободной ликвидности для единовременной оплаты лота стоимостью свыше миллиона рублей, девелопер делает ставку на бесшовную интеграцию машино-места в единый ипотечный договор с квартирой. Такая стратегия позволяет «спрятать» высокую номинальную стоимость парковочного места в долгосрочный аннуитетный платеж, размывая финансовую нагрузку на потребителя на горизонте двадцати или тридцати лет. В архитектурном плане «Самолет» комбинирует плоскостные гостевые парковки по внешнему контуру зданий с компактными подземными или стилобатными решениями.</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Группа ЛСР, обладающая диверсифицированным портфелем проектов в различных регионах и классах жилья, применяет гибридный подход к ценообразованию и проектированию. В жилых комплексах класса «комфорт-плюс» и «бизнес» ЛСР внедряет жесткую матрицу зонирования подземного пространства. Машино-места, расположенные в непосредственной близости от лифтовых холлов, входных групп или обладающие увеличенными габаритами, классифицируются как премиальные лоты и реализуются с наценкой, достигающей 30-40% от базовой стоимости. В то же время, стандартные места или лоты с неудобным радиусом поворота могут предлагаться с дисконтом для обеспечения стопроцентной утилизации площадей к моменту ввода объекта в эксплуатацию.</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MR-Group, традиционно тяготеющая к сегментам «бизнес», «премиум» и элитной недвижимости, рассматривает паркинг не просто как место для хранения автомобиля, а как высокотехнологичное продолжение сервисной инфраструктуры жилого комплекса. Стратегия девелопера предполагает внедрение передовых систем автоматизации: интеллектуального распознавания государственных регистрационных знаков (ANPR), систем навигации со световой индикацией свободных мест, усиления сигнала сотовой связи и высокоскоростного интернета на подземных уровнях, а также массовой подготовки инфраструктуры для подключения зарядных станций электромобилей. В проектах такого уровня коэффициент обеспеченности машино-местами стремится к показателю 1:1 или даже превышает его. Финансовая стратегия MR-Group часто заключается в придерживании пула наиболее ликвидных парковочных мест до финальных стадий реализации жилого комплекса, чтобы максимизировать прибыль на фоне сформировавшегося локального дефицита после заселения первых очередей.</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Девелоперы форматов Донстрой или ФСК, активно работающие в высококонкурентной среде Московского региона, делают ставку на вариативность предложения внутри единого подземного пространства. Понимая сложную геометрию подземных уровней, обусловленную контурами зданий и расположением несущих конструкций, они внедряют матрицу сложных лотов. В продажу поступают семейные (зависимые) машино-места, где один автомобиль блокирует выезд другого, специализированные компактные места для мотоциклов и квадроциклов, а также комбинированные лоты, объединяющие парковочное место с прилегающим келлером (кладовой). Это позволяет извлекать максимальную коммерческую выгоду из каждого кубического метра подземной инфраструктуры.</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Девелопер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Целевой сегмент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Архитектурная концепция паркинга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Ключевая стратегия продаж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Группа ПИК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Масс-маркет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Отдельно стоящие многоуровневые наземные паркинги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Динамическое ценообразование, пакетные предложения, фокус на цифровую витрину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Группа Самолет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Комфорт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Комбинированные решения (стилобаты, наземные)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Финансовая инженерия, интеграция в единый ипотечный кредитный продукт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Группа ЛСР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Комфорт+, Бизнес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Подземные паркинги с зонированием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Максимизация маржинальности через ценовую дифференциацию (премиум-лоты у лифтов)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MR-Group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Бизнес, Премиум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Высокотехнологичные подземные паркинги (EV, ANPR)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Сервисная надбавка к стоимости, придерживание лотов до финальной стадии проекта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Донстрой / ФСК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Бизнес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Многоуровневые подземные пространства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Вариативность лотов (семейные, мото-места, связки с келлерами) для 100% утилизации площади</w:t>
            </w:r>
          </w:p>
        </w:tc>
      </w:tr>
    </w:tbl>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Роль цифровых платформ и классифайдов в экосистеме рынка</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Архитектура современного рынка машино-мест неразрывно связана с цифровизацией каналов дистрибуции. Платформы и экосистемы выступают не только агрегаторами предложения, но и формируют поведенческие паттерны участников рынка, сегментируя зоны своего влияния.</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Ключевым драйвером финансовой активности и главным маркетмейкером выступает экосистема Домклик от Сбербанка. Ее влияние обусловлено доминирующим положением материнского банка на рынке ипотечного кредитования. Домклик решает главную проблему покупателя — преодоление высокого порога входа. Интеграция базы объектов недвижимости с кредитными продуктами в режиме единого окна позволяет пользователю одномоментно получить одобрение как на сам объект (включая машино-место), так и кредитного лимита. Статистика Сбербанка наглядно демонстрирует эту динамику: декабрь 2025 года стал рекордным месяцем, когда совокупный объем выдач ипотеки по рыночным ставкам достиг 110 миллиардов рублей, что в 3,5 раза превысило показатели аналогичного периода 2024 года и на 47,4% — результаты ноября 2025 года.</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Столь бурный рост стал возможен благодаря корректировке средневзвешенной рыночной ставки, которая опустилась с запретительных 28,8% в начале года до более приемлемых 19,8% к декабрю 2025 года.</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Хотя эти данные отражают общий объем ипотечного портфеля, доля кредитов, привлекаемых на покупку инфраструктурной недвижимости, в том числе машино-мест, неизменно растет. Домклик обеспечивает легитимизацию и безопасность сделок на вторичном рынке, выступая гарантом чистоты расчетов через сервисы безопасных расчетов (СБР) и электронную регистрацию.</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сегменте вторичного оборота (Consumer-to-Consumer, C2C) фундаментальную роль играют классифайды — Авито Недвижимость и Циан. Их функционал заключается в создании прозрачного ценового бенчмарка. Авито традиционно аккумулирует колоссальные объемы трафика в масс-маркете и регионах, выступая витриной для переуступок прав требования и прямой продажи от собственников. Циан, напротив, обладает исторически сильными позициями в Московском и Петербургском регионах, концентрируя вокруг себя аудиторию сегментов комфорт-плюс и бизнес. Для профессиональных инвесторов и рантье эти платформы служат главным аналитическим инструментом: перед приобретением паркинга у застройщика инвестор проводит стресс-тестирование локации, изучая на Авито и Циан ставки аренды и сроки экспозиции аналогичных объектов в соседних сданных жилых комплексах.</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Особое место в информационном пространстве занимают специализированные порталы первичного рынка, такие как novostroy-m.ru. Их функциональная роль сводится к агрегации данных о строящихся объектах, публикации независимой аналитики, мониторингу хода строительства и консолидации информации о скидках от девелоперов. В контексте машино-мест эти сайты выполняют важнейшую задачу лидогенерации на ранних этапах строительства (стадия котлована), когда физический осмотр паркинга невозможен. Публикация проектных деклараций, поэтажных планов и интерактивных шахматок позволяет покупателю сделать осознанный выбор дистанционно.</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2. Рыночный потенциал (TAM / SAM / SOM) и стратегический прогноз</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формирования достоверного стратегического прогноза развития рынка машино-мест на период 2026–2030 годов необходимо применить строгую методологию квантификации рынка — фреймворк TAM/SAM/SOM. Специфика данного класса активов заключается в его физической ограниченности: объем рынка жестко коррелирует с двумя макропараметрами — площадью вводимого жилья и уровнем автомобилизации населения.</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Расчет Total Addressable Market (TAM)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Показатель TAM иллюстрирует общий объем целевого рынка, представляя теоретическую емкость спроса в сценарии, где каждый автовладелец в Российской Федерации, испытывающий дефицит комфортного парковочного пространства, принимает решение о приобретении машино-места в собственность.</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Основой для расчета служит статистика автомобильного парка. По состоянию на 1 января 2025 года, парк легковых автомобилей в России преодолел отметку в 47,5 миллиона единиц.</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Важно отметить структурную особенность этого автопарка: порядка 70,5% от общего числа (что эквивалентно 33,5 миллионам легковых машин) составляют автомобили старше 10 лет.</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Этот фактор напрямую влияет на поведенческую экономику: владельцы возрастных автомобилей с низкой остаточной стоимостью крайне редко рассматривают покупку капитального машино-места, стоимость которого может превышать цену самого транспортного средства. Кроме того, значительная часть автопарка дислоцируется в сельской местности, секторах индивидуального жилищного строительства (ИЖС) и районах старой советской застройки, где организованные паркинги физически отсутствуют, а спрос абсорбируется стихийной уличной парковкой.</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корректной оценки мы вводим допущение, что целевой городской жилой фонд, обладающий физическим дефицитом инфраструктуры и платежеспособным спросом, охватывает примерно 35-40% от общего активного автопарка. Это формирует целевую аудиторию в размере около 18 миллионов автомобилей.</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TAM в натуральном выражении:</w:t>
      </w:r>
      <w:r w:rsidDel="00000000" w:rsidR="00000000" w:rsidRPr="00000000">
        <w:rPr>
          <w:rFonts w:ascii="Arial" w:cs="Arial" w:eastAsia="Arial" w:hAnsi="Arial"/>
          <w:color w:val="1f1f1f"/>
          <w:rtl w:val="0"/>
        </w:rPr>
        <w:t xml:space="preserve"> 18 000 000 потенциальных машино-мест.</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TAM в денежном выражении:</w:t>
      </w:r>
      <w:r w:rsidDel="00000000" w:rsidR="00000000" w:rsidRPr="00000000">
        <w:rPr>
          <w:rFonts w:ascii="Arial" w:cs="Arial" w:eastAsia="Arial" w:hAnsi="Arial"/>
          <w:color w:val="1f1f1f"/>
          <w:rtl w:val="0"/>
        </w:rPr>
        <w:t xml:space="preserve"> Принимая во внимание средневзвешенную стоимость машино-места, сформированную из показателей миллионников (1,3 млн руб.) и городов до миллиона жителей (1,1 млн руб.)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мы фиксируем расчетный средний чек на консервативном уровне 1,2 миллиона рублей.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3745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5500" cy="33745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Эта астрономическая цифра является индикатором колоссального, исторически накопленного инфраструктурного дефицита, который невозможно удовлетворить в рамках текущей парадигмы развития плотных городских агломераций.</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Расчет Serviceable Available Market (SAM)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SAM определяет реально достижимый объем рынка — ту долю TAM, которая может быть физически и юридически обслужена в рамках существующих бизнес-моделей девелоперов и правового поля. В контексте нашего исследования SAM ограничивается рынком современных многоквартирных жилых комплексов, введенных в эксплуатацию преимущественно после 2015–2017 годов, где машино-места проектировались согласно современным стандартам и обладают понятным статусом независимых объектов недвижимости.</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Строительный сектор России демонстрирует выдающиеся темпы ввода жилья. По итогам 2025 года объем введенного в эксплуатацию жилья превысил 107 миллионов квадратных метров.</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Государственные планы на 2026 год предполагают удержание планки вблизи рекордных значений — планируется ввести около 103 миллионов квадратных метров жилой недвижимости.</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Анализируя ретроспективные данные, можно констатировать, что за период с 2017 по 2025 год суммарный ввод многоквартирных домов составил ориентировочно 400 миллионов квадратных метров (за вычетом ИЖС). При средней площади квартиры в 50 кв. м., это эквивалентно 8 миллионам построенных квартир.</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Опираясь на статистику обеспеченности, согласно которой в проектах с паркингом на 100 квартир приходится 36 машино-мест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мы можем рассчитать объем созданной инфраструктуры. За этот период было возведено порядка 2 880 000 легальных парковочных мест. Учитывая, что недвижимость — актив с низкой оборачиваемостью, в активном рыночном обороте (продажи от застройщиков в новых ЖК плюс вторичный рынок) ежегодно находится не более 15% от этого объема.</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SAM в натуральном выражении:</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98021" cy="21883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98021" cy="218831"/>
                    </a:xfrm>
                    <a:prstGeom prst="rect"/>
                    <a:ln/>
                  </pic:spPr>
                </pic:pic>
              </a:graphicData>
            </a:graphic>
          </wp:inline>
        </w:drawing>
      </w:r>
      <w:r w:rsidDel="00000000" w:rsidR="00000000" w:rsidRPr="00000000">
        <w:rPr>
          <w:rFonts w:ascii="Arial" w:cs="Arial" w:eastAsia="Arial" w:hAnsi="Arial"/>
          <w:color w:val="1f1f1f"/>
          <w:rtl w:val="0"/>
        </w:rPr>
        <w:t xml:space="preserve"> лотов, доступных к приобретению в течение года.</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SAM в денежном выражении:</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651495" cy="21928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51495" cy="21928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Расчет Serviceable Obtainable Market (SOM)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Показатель SOM отражает реалистичную долю рынка, которую могут захватить прозрачные цифровые платформы, официальные каналы девелоперов и ипотечные сделки, исключая теневой сегмент локальных чатов и прямые внутрисемейные передачи активов.</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Основой для расчета SOM выступает официальная статистика регистрационных действий. По данным Росреестра, за первые шесть месяцев (первое полугодие) 2025 года на кадастровый учет было поставлено 78 тысяч машино-мест, что демонстрирует уверенный рост на 21% по сравнению с аналогичным периодом 2024 года (64,4 тыс. объектов).</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Географическое распределение этой активности ожидаемо смещено в сторону крупнейших экономических центров: лидером стал Центральный федеральный округ (31,7 тыс. объектов), львиную долю которого обеспечили Москва (24,7 тыс.) и Московская область (4,3 тыс.).</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Южный федеральный округ показал результат в 11,3 тыс. объектов (из них 8 тыс. в Краснодарском крае), Северо-Западный — 8,2 тыс. (6 тыс. в Санкт-Петербурге), а Сибирский округ продемонстрировал рост на 50%, достигнув отметки почти в 6 тыс. машино-мест.</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Экстраполируя данные первого полугодия на весь 2025 год с учетом традиционного оживления рынка в четвертом квартале, общий объем легализованных новых объектов оценивается на уровне 170 000 – 180 000 единиц. Добавляя к этому вторичный оборот уже существующих объектов, мы получаем общий объем транзакций. Однако цифровыми платформами и официальными структурами утилизируется лишь около 60-65% этого объема, остальное уходит в серую зону прямых договоренностей.</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SOM в натуральном выражении:</w:t>
      </w:r>
      <w:r w:rsidDel="00000000" w:rsidR="00000000" w:rsidRPr="00000000">
        <w:rPr>
          <w:rFonts w:ascii="Arial" w:cs="Arial" w:eastAsia="Arial" w:hAnsi="Arial"/>
          <w:color w:val="1f1f1f"/>
          <w:rtl w:val="0"/>
        </w:rPr>
        <w:t xml:space="preserve"> Около 130 000 транзакций (лотов) в год.</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SOM в денежном выражении:</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574552" cy="219239"/>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74552" cy="219239"/>
                    </a:xfrm>
                    <a:prstGeom prst="rect"/>
                    <a:ln/>
                  </pic:spPr>
                </pic:pic>
              </a:graphicData>
            </a:graphic>
          </wp:inline>
        </w:drawing>
      </w: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Метрика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Объем в лотах (шт.)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Объем в денежном выражении (руб.)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Смысловое значение для рынка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18 000 000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21,6 трлн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Абсолютный потенциал на базе парка авто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432 000 (оборот/год)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518,4 млрд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Доступный рынок в современных ЖК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130 000 (транзакций/год)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156,0 млрд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Реально достижимый объем сделок</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Стратегический прогноз до 2030 года: Ключевые драйверы</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Анализ макроэкономической конъюнктуры и отраслевых тенденций позволяет прогнозировать уверенный рост стоимости машино-мест на уровне 5–10% в перспективе 2026 года.</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Вектор развития до 2030 года будет определяться синергией нескольких фундаментальных факторов, которые гарантируют высокую инвестиционную привлекательность данного класса активов.</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Во-первых, на рынке сохранится жесткий дисбаланс спроса и предложения. В сегментах нового строительства комфорт- и бизнес-класса потребность в безопасном хранении автомобилей будет системно превышать возможности девелоперов по созданию инфраструктуры.</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Строительство подземных уровней остается технологически сложным и крайне затратным процессом, что ограничивает объемы нового предложения.</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Во-вторых, вектор государственной политики направлен на ужесточение требований и градостроительных регламентов. Муниципальные власти крупнейших агломераций, в первую очередь Москвы, планомерно пересматривают коэффициенты обеспеченности парковками в сторону их искусственного снижения. Эта стратегия призвана дестимулировать использование личного транспорта в пользу общественного, что неминуемо превращает машино-место из базовой потребности в дефицитный премиальный актив.</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Законодательные инициативы, подобные предложению в Санкт-Петербурге об уменьшении нормативной площади мест под парковки в новостройках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лишь усугубляют этот тренд.</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В-третьих, непрерывный рост себестоимости строительства. Удорожание цемента, арматуры, сложных инженерных систем вентиляции и дымоудаления, а также дефицит квалифицированной рабочей силы и высокая стоимость проектного финансирования вынуждают застройщиков транслировать эти издержки в конечную цену машино-места.</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В-четвертых, макроэкономический контекст и динамика ключевой ставки. Ожидаемое аналитиками начало цикла смягчения монетарной политики Банка России (прогнозы указывают на возможное начало снижения ставки с уровня 21% в апреле 2026 года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приведет к удешевлению ипотечных продуктов. Снижение стоимости заемных денег традиционно выступает мощнейшим катализатором отложенного спроса на рынке недвижимости, что спровоцирует новый виток роста цен на ограниченное предложение паркингов.</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3. Механика сделки (Customer Journey Map) и юридические барьеры</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Путь клиента (Customer Journey Map) при приобретении машино-места фундаментально различается в зависимости от того, на каком рынке — первичном или вторичном — совершается транзакция. Правовая природа парковочных площадей в России прошла сложный путь эволюции, породив многослойную юридическую реальность, изобилующую скрытыми рисками и бюрократическими барьерами.</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Первичный рынок (B2C): Механика приобретения у застройщика</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На первичном рынке процесс приобретения машино-места на стадии строительства строго регулируется положениями Федерального закона № 214-ФЗ «Об участии в долевом строительстве». Этот механизм обеспечивает максимальную защиту прав потребителя, но накладывает жесткие рамки на финансовые потоки девелопера.</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Процесс инициируется на этапе выбора объекта. Покупатель, взаимодействуя с цифровой витриной девелопера или агрегаторами, изучает интерактивные поэтажные планы (шахматки). В отличие от квартир, где ключевую роль играют планировка и вид из окна, при выборе паркинга критерии оценки носят сугубо прагматичный характер: близость лота к лифтовому холлу нужной секции, отсутствие массивных несущих пилонов, ограничивающих открывание дверей, отсутствие проходящих над автомобилем инженерных коммуникаций (воздуховодов, труб водоснабжения), а также достаточность радиуса для совершения маневров.</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Юридическое оформление базируется на заключении Договора участия в долевом строительстве (ДДУ), где машино-место идентифицируется как самостоятельный объект недвижимости с фиксацией его проектной площади, строительного номера и точного расположения на графическом плане подземного уровня.</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Ключевым финансовым механизмом выступают счета эскроу. Покупатель перечисляет денежные средства не на расчетный счет строительной компании, а на специальный блокированный счет в уполномоченном банке. Средства депонируются и остаются недоступными для застройщика вплоть до момента завершения строительства, получения разрешения на ввод объекта в эксплуатацию и регистрации первого права собственности. Данная система полностью нивелирует риск появления «обманутых дольщиков» в сегменте паркингов, гарантируя возврат средств в случае банкротства девелопера. Однако, оборотной стороной медали является лишение застройщиков доступа к бесплатному фондированию: они вынуждены строить подземные уровни на дорогие заемные средства банка (проектное финансирование), что в конечном итоге является одним из факторов, разгоняющих цены на парковки.</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Финальным этапом CJM становится приемка объекта. После осмотра лота на предмет отсутствия протечек и соответствия заявленным габаритам, подписывается акт приема-передачи, после чего объект ставится на кадастровый учет и регистрируется право собственности в Едином государственном реестре недвижимости (ЕГРН).</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Вторичный рынок (C2C): Пошаговый алгоритм и зоны комплаенс-контроля</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Приобретение машино-места на вторичном рынке у физического лица (модель C2C) сопряжено с высокой степенью асимметрии информации. Отсутствие институционального гаранта в лице застройщика требует от покупателя проведения тщательного due diligence (всесторонней проверки) объекта и субъекта сделки.</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Поиск и первичный контакт:</w:t>
      </w:r>
      <w:r w:rsidDel="00000000" w:rsidR="00000000" w:rsidRPr="00000000">
        <w:rPr>
          <w:rFonts w:ascii="Arial" w:cs="Arial" w:eastAsia="Arial" w:hAnsi="Arial"/>
          <w:color w:val="1f1f1f"/>
          <w:rtl w:val="0"/>
        </w:rPr>
        <w:t xml:space="preserve"> В отличие от жилой недвижимости, где доминируют агрегаторы, поиск паркинга часто носит гиперлокальный характер. Покупатель изучает закрытые соседские чаты в мессенджерах, физические доски объявлений в паркинге или опрашивает консьержей. Лишь на втором этапе подключаются платформы Циан или Авито.</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Физическая инспекция объекта:</w:t>
      </w:r>
      <w:r w:rsidDel="00000000" w:rsidR="00000000" w:rsidRPr="00000000">
        <w:rPr>
          <w:rFonts w:ascii="Arial" w:cs="Arial" w:eastAsia="Arial" w:hAnsi="Arial"/>
          <w:color w:val="1f1f1f"/>
          <w:rtl w:val="0"/>
        </w:rPr>
        <w:t xml:space="preserve"> Натурный осмотр является критически важным этапом. Покупатель обязан оценить гидроизоляцию помещения (наличие высолов на стенах, луж, следов капели с потолка), температурно-влажностный режим, работу систем вентиляции. Также на месте проверяется реальная ширина места, так как в процессе эксплуатации соседи могут сместить разметку или установить незаконные ограждения.</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Глубокая юридическая проверка (Due Diligence):</w:t>
      </w:r>
    </w:p>
    <w:p w:rsidR="00000000" w:rsidDel="00000000" w:rsidP="00000000" w:rsidRDefault="00000000" w:rsidRPr="00000000" w14:paraId="0000007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w:cs="Arial" w:eastAsia="Arial" w:hAnsi="Arial"/>
          <w:i w:val="1"/>
          <w:iCs w:val="1"/>
          <w:color w:val="1f1f1f"/>
          <w:rtl w:val="0"/>
        </w:rPr>
        <w:t xml:space="preserve">Анализ выписки из ЕГРН:</w:t>
      </w:r>
      <w:r w:rsidDel="00000000" w:rsidR="00000000" w:rsidRPr="00000000">
        <w:rPr>
          <w:rFonts w:ascii="Arial" w:cs="Arial" w:eastAsia="Arial" w:hAnsi="Arial"/>
          <w:color w:val="1f1f1f"/>
          <w:rtl w:val="0"/>
        </w:rPr>
        <w:t xml:space="preserve"> Документ подтверждает легитимность права собственности продавца, позволяет сверить кадастровый номер и площадь, а главное — выявляет наличие обременений. Часто машино-места находятся в залоге у банка, выдавшего ипотеку на квартиру, что требует проведения сложной сделки с участием кредитной организации по снятию залога.</w:t>
      </w:r>
    </w:p>
    <w:p w:rsidR="00000000" w:rsidDel="00000000" w:rsidP="00000000" w:rsidRDefault="00000000" w:rsidRPr="00000000" w14:paraId="0000007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w:cs="Arial" w:eastAsia="Arial" w:hAnsi="Arial"/>
          <w:i w:val="1"/>
          <w:iCs w:val="1"/>
          <w:color w:val="1f1f1f"/>
          <w:rtl w:val="0"/>
        </w:rPr>
        <w:t xml:space="preserve">Комплаенс продавца:</w:t>
      </w:r>
      <w:r w:rsidDel="00000000" w:rsidR="00000000" w:rsidRPr="00000000">
        <w:rPr>
          <w:rFonts w:ascii="Arial" w:cs="Arial" w:eastAsia="Arial" w:hAnsi="Arial"/>
          <w:color w:val="1f1f1f"/>
          <w:rtl w:val="0"/>
        </w:rPr>
        <w:t xml:space="preserve"> Критический этап, часто игнорируемый покупателями. Необходимо проверить продавца по базам Федеральной службы судебных приставов (ФССП) на наличие возбужденных исполнительных производств, а также по Картотеке арбитражных дел на предмет инициирования процедуры банкротства. Сделка купли-продажи актива по цене, отклоняющейся от рыночной, совершенная с лицом, находящимся в предбанкротном состоянии, с высокой долей вероятности будет оспорена финансовым управляющим в течение ближайших трех лет.</w:t>
      </w:r>
    </w:p>
    <w:p w:rsidR="00000000" w:rsidDel="00000000" w:rsidP="00000000" w:rsidRDefault="00000000" w:rsidRPr="00000000" w14:paraId="0000007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w:cs="Arial" w:eastAsia="Arial" w:hAnsi="Arial"/>
          <w:i w:val="1"/>
          <w:iCs w:val="1"/>
          <w:color w:val="1f1f1f"/>
          <w:rtl w:val="0"/>
        </w:rPr>
        <w:t xml:space="preserve">Финансовый аудит:</w:t>
      </w:r>
      <w:r w:rsidDel="00000000" w:rsidR="00000000" w:rsidRPr="00000000">
        <w:rPr>
          <w:rFonts w:ascii="Arial" w:cs="Arial" w:eastAsia="Arial" w:hAnsi="Arial"/>
          <w:color w:val="1f1f1f"/>
          <w:rtl w:val="0"/>
        </w:rPr>
        <w:t xml:space="preserve"> Покупатель запрашивает у продавца справку из управляющей компании об отсутствии задолженности по оплате жилищно-коммунальных услуг. Паркинг генерирует постоянные операционные расходы (охрана, клининг, электричество), и накопленные долги могут стать причиной конфликта с УК после перехода права собственности.</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Структурирование расчетов и регистрация:</w:t>
      </w:r>
      <w:r w:rsidDel="00000000" w:rsidR="00000000" w:rsidRPr="00000000">
        <w:rPr>
          <w:rFonts w:ascii="Arial" w:cs="Arial" w:eastAsia="Arial" w:hAnsi="Arial"/>
          <w:color w:val="1f1f1f"/>
          <w:rtl w:val="0"/>
        </w:rPr>
        <w:t xml:space="preserve"> Оформление Договора купли-продажи (ДКП) сопровождается финансовыми расчетами, которые в целях безопасности проводятся исключительно через банковскую ячейку, аккредитив или сервисы безопасных расчетов (СБР). Завершает процесс подача пакета документов на государственную регистрацию перехода права собственности в Росреестр.</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3.3. Правовой тупик вторичного рынка: Проблема «Общедолевой собственности»</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Наиболее сложным и токсичным сегментом вторичного рынка машино-мест являются объекты, построенные и введенные в эксплуатацию до 1 января 2017 года. До вступления в силу исторического Федерального закона № 315-ФЗ, машино-место де-юре не признавалось самостоятельным объектом недвижимого имущества. Следствием этого правового вакуума стала практика, при которой покупатель физически оплачивал конкретное парковочное место (например, площадью 15 кв. м), но юридически приобретал абстрактную дробную долю в праве общей долевой собственности на все колоссальное помещение паркинга (например, долю в размере 15/10000). Физические границы места закреплялись лишь устными договоренностями или внутренними соглашениями о порядке пользования, не имеющими абсолютной юридической силы.</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Эта юридическая конструкция создает катастрофические препятствия для отчуждения актива сегодня. В соответствии с императивными требованиями статьи 250 Гражданского кодекса Российской Федерации, при продаже доли в праве общей собственности постороннему лицу, остальные сособственники обладают преимущественным правом покупки этой доли по цене, за которую она продается. На практике это означает, что продавец места в паркинге на 400 автомобилей обязан надлежащим образом (заказным письмом с уведомлением о вручении или через нотариуса) известить 399 своих соседей о намерении совершить сделку. Собрать письменные отказы от такого количества людей физически невозможно.</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Законодатель, осознавая масштаб проблемы, ввел механизм обхода: если число участников долевой собственности превышает 20 человек, извещение может быть осуществлено путем размещения информации на официальном сайте Росреестра. Однако этот процесс сопряжен с обязательным 30-дневным периодом ожидания (время на ответ сособственников), после чего сделка купли-продажи доли подлежит обязательному нотариальному удостоверению. Нотариальный тариф, зависящий от суммы сделки, ложится тяжким бременем на участников транзакции, нивелируя финансовую выгоду.</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Выходом из этого правового тупика является процедура выдела машино-места в натуре. Закон позволяет собственнику доли трансформировать ее в полноценный, самостоятельный объект недвижимости. Для этого привлекается кадастровый инженер, который проводит натурные обмеры и формирует технический план. После соблюдения процедуры уведомления соседей, Росреестр снимает с учета долю и регистрирует новое индивидуальное машино-место. Именно этот процесс массовой конвертации старых «долей» в новые, чистые активы объясняет столь высокую динамику роста кадастрового учета машино-мест в 2025 году (рост на 21%, постановка на учет 78 тысяч объектов по стране).</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Инвесторы, готовые пройти этот бюрократический путь, существенно повышают капитализацию и ликвидность своего актива.</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4. Глубокий анализ проблематики и отзывов (Voice of the Customer)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Исследование рынка будет неполным без погружения в пользовательский опыт. Анализ обратной связи, мониторинг профильных форумов и агрегация отзывов участников рынка позволяют классифицировать основные «боли» (Pain Points) на три магистральных кластера: финансово-потребительские, эксплуатационно-технические и инвестиционные.</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Боли конечных потребителей: Барьеры доступности</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Фундаментальной болью покупателей является непреодолимый финансовый барьер. При среднем чеке в 1,3 миллиона рублей в городах-миллионниках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паркинг в глазах массового потребителя окончательно трансформировался из утилитарной необходимости в предмет роскоши. В бюджете домохозяйства, приобретающего квартиру комфорт-класса за 8-10 миллионов рублей, дополнительные 17% стоимости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становятся критической суммой.</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Эта проблема усугубляется ограничениями государственных программ поддержки. Аналитика Домклик свидетельствует, что в 2025 году россияне беспрецедентно активно использовали средства материнского капитала при покупке недвижимости: доля таких ипотечных сделок превысила 30%, составив почти 160 тысяч транзакций, что на треть больше показателей 2024 года.</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Наивысшие показатели применения маткапитала зафиксированы в регионах с невысокой стоимостью квадратного метра: Ставропольском крае (40,4%), Ростовской (40,1%), Пензенской (39%), Орловской (38,7%) областях.</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В Москве и Московской области эта доля ожидаемо ниже — 20,9% и 24,3% соответственно.</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Однако законодательство Российской Федерации категорически запрещает направлять средства материнского капитала на приобретение нежилых помещений, к которым относятся машино-места. Это нормативное ограничение одномоментно исключает из числа потенциальных покупателей огромный пласт семейной аудитории, для которой паркинг является насущной потребностью.</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Дополнительным стресс-фактором выступает стоимость заемного капитала. Исторически высокие ставки по базовым ипотечным программам, достигавшие в течение 2024-2025 годов шокирующих 28,8% до их снижения до 19,8% к концу года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сделали приобретение паркинга в кредит экономически бессмысленным для тех, кто не успел воспользоваться субсидированными программами застройщиков. Ежемесячный аннуитетный платеж по кредиту на машино-место в таких условиях может кратно превышать стоимость аренды аналогичного лота в том же доме. В совокупности это формирует у покупателя когнитивный диссонанс: психологическое неприятие факта необходимости выплачивать стоимость хорошего автомобиля за «кусок размеченного бетона».</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Технические и эксплуатационные противоречия</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Второй кластер проблем сконцентрирован вокруг технического несовершенства инфраструктуры, которое вступает в конфликт с меняющимися характеристиками автопарка.</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Российский автопарк, насчитывающий 47,5 миллиона машин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переживает тектонический сдвиг. После исхода традиционных европейских, японских и корейских брендов, рынок стремительно заполняется автомобилями китайских производителей (Chery, Geely, Haval, Changan), которые, хоть и занимают пока скромные позиции в общем историческом объеме автопарка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доминируют в структуре новых продаж. Специфика этих брендов заключается в массовом предложении полноразмерных кроссоверов и внедорожников (SUV). Проблема кроется в том, что значительная часть паркингов в России проектировалась по устаревшим нормативам, допускавшим минимальные габариты машино-места 5,3 х 2,5 метра. Для современного SUV шириной более 1,9 метра с учетом зеркал парковка на таком месте превращается в ежедневное испытание, сопровождающееся риском повреждения лакокрасочного покрытия соседних автомобилей при открывании дверей. Возникает парадокс габаритного коллапса: паркинг физически существует, но эксплуатировать его современным автопарком некомфортно.</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 числу хронических технических болей относятся ошибки проектирования и строительства. Массовые жалобы резидентов новостроек связаны с нарушением контуров гидроизоляции подземных уровней. Проникновение грунтовых вод, постоянная сырость, образование конденсата на вентиляционных коробах и, как следствие, падение капель агрессивного солевого раствора на кузова дорогих автомобилей — стандартный набор претензий к управляющим компаниям.</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Отдельного упоминания заслуживает инфраструктурный вакуум электромобильности. Несмотря на глобальный тренд, подавляющее большинство введенных в эксплуатацию ЖК не располагают заложенными электрическими мощностями для установки индивидуальных зарядных станций (Wallbox) на парковочных местах. Владельцы сталкиваются с категорическими отказами управляющих компаний, аргументируемыми дефицитом выделенных на дом киловатт и жесткими требованиями пожарной безопасности.</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Инвестиционные иллюзии и риски рантье</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 информационном поле машино-места активно позиционируются как идеальный инструмент для начинающего инвестора с прогнозируемым ростом цен.</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Однако реальная экономика владения скрывает подводные камни.</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Главная боль инвестора — удручающе низкая текущая рентабельность (Yield). При капитализации актива в 1,3 миллиона рублей, средняя ставка аренды машино-места в городах-миллионниках составляет от 5 000 до 8 000 рублей в месяц. Валовой годовой доход при 100% заполняемости составит около 80 000 рублей, что генерирует возврат на инвестиции (ROI) на уровне 5,5–6,5% годовых. В условиях макроэкономической реальности, когда Банк России в целях таргетирования инфляции удерживал ключевую ставку на уровне 21% (со снижением, прогнозируемым не ранее апреля 2026 года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безрисковая доходность по банковским депозитам кратно превышает доходность от аренды паркинга.</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Более того, рентабельность съедается бременем операционных расходов. Машино-место, независимо от того, сдано оно в аренду или простаивает, генерирует ежемесячные коммунальные платежи в пользу УК (за освещение, работу систем дымоудаления, уборку, охрану), которые могут варьироваться от 1 500 до 3 500 рублей. В периоды поиска арендатора актив генерирует прямой отрицательный денежный поток. Налоговое бремя (уплата НДФЛ при продаже ранее минимального срока владения) окончательно перечеркивает спекулятивную привлекательность актива на коротких горизонтах. Таким образом, инвестиционная модель в сегменте машино-мест сегодня может базироваться исключительно на вере в долгосрочную капитальную переоценку стоимости самого лота, но никак не на дивидендной доходности.</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5. Теневой сегмент рынка: Экономика соседских комьюнити</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Анализ рынка купли-продажи машино-мест принципиально отличается от анализа рынка жилья из-за наличия масштабного теневого сегмента — так называемого «комьюнити-маркета». Специфика паркинга заключается в его абсолютной локальной зависимости. Квартиру можно рассматривать как абстрактный финансовый актив и инвестировать в недвижимость на другом конце страны. Машино-место же в 95% случаев имеет потребительскую ценность исключительно для жителя конкретного многоквартирного дома или микрорайона. Эта особенность спровоцировала формирование уникальной топологии каналов продаж, где цифровые гиганты вынуждены конкурировать с гиперлокальными социальными сетями.</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 оценкам экспертного сообщества, значительная доля сделок на вторичном рынке (включая переуступку прав по договорам долевого участия и реализацию готовых объектов) проходит вне радаров крупных агрегаторов.</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Архитектура этого сегмента базируется на следующих платформах:</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Telegram и WhatsApp чаты жилых комплексов:</w:t>
      </w:r>
      <w:r w:rsidDel="00000000" w:rsidR="00000000" w:rsidRPr="00000000">
        <w:rPr>
          <w:rFonts w:ascii="Arial" w:cs="Arial" w:eastAsia="Arial" w:hAnsi="Arial"/>
          <w:color w:val="1f1f1f"/>
          <w:rtl w:val="0"/>
        </w:rPr>
        <w:t xml:space="preserve"> В современной культуре проживания каждый строящийся и введенный в эксплуатацию дом обладает неофициальным цифровым представительством. В масштабных проектах создаются структурированные ветки дискуссий, среди которых обязательно присутствуют разделы «Недвижимость», «Барахолка» или специализированные «Паркинг/Кладовые». Именно эти каналы становятся первой точкой входа предложения на рынок.</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Группы VKontakte:</w:t>
      </w:r>
      <w:r w:rsidDel="00000000" w:rsidR="00000000" w:rsidRPr="00000000">
        <w:rPr>
          <w:rFonts w:ascii="Arial" w:cs="Arial" w:eastAsia="Arial" w:hAnsi="Arial"/>
          <w:color w:val="1f1f1f"/>
          <w:rtl w:val="0"/>
        </w:rPr>
        <w:t xml:space="preserve"> Сохраняют свою актуальность для жилых комплексов более ранней постройки (периода 2015-2020 годов) и в региональных агломерациях. Они функционируют как локальные доски объявлений, где модерация осуществляется инициативными группами жильцов.</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Закрытые платформы и чаты MAX:</w:t>
      </w:r>
      <w:r w:rsidDel="00000000" w:rsidR="00000000" w:rsidRPr="00000000">
        <w:rPr>
          <w:rFonts w:ascii="Arial" w:cs="Arial" w:eastAsia="Arial" w:hAnsi="Arial"/>
          <w:color w:val="1f1f1f"/>
          <w:rtl w:val="0"/>
        </w:rPr>
        <w:t xml:space="preserve"> В сегментах премиум и бизнес-класса девелоперы (или аффилированные с ними управляющие компании) интегрируют функционал внутренних маркетплейсов в собственные мобильные приложения (SuperApps) для резидентов. Это позволяет УК контролировать оборот активов внутри экосистемы дома.</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Причины миграции рынка в такие теневые каналы носят глубоко экономический и социально-психологический характер.</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Во-первых, это абсолютная эффективность таргетинга при нулевой стоимости привлечения клиента (Customer Acquisition Cost). Продавцу машино-места нецелесообразно оплачивать размещение и продвижение объявления на федеральных классифайдах, когда он может бесплатно опубликовать сообщение в чате дома и мгновенно охватить 100% своей целевой аудитории.</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Во-вторых, фактор скорости. В жилых комплексах с жестким дефицитом инфраструктуры ликвидные лоты бронируются соседями в течение нескольких часов после публикации сообщения в чате. Срабатывает мощнейший триггер FOMO (страх упущенной выгоды): резиденты, годами испытывающие стресс при поиске места для вечерней парковки во дворе, готовы принимать эмоциональные финансовые решения.</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В-третьих, эффект комьюнити-поручительства. Сделки между соседями, визуально знакомыми друг с другом по собраниям собственников, воспринимаются как психологически более безопасные, что снижает барьеры при передаче задатков и авансов.</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Однако этот теневой сегмент генерирует существенные риски для рынка в целом. Информационная замкнутость локальных чатов разрушает прозрачность ценообразования. В условиях искусственного или реального дефицита продавец может установить монопольно высокую цену, ориентируясь на отчаяние конкретного соседа. Это искажает рыночные бенчмарки локации. Кроме того, транзакции, инициированные через мессенджеры и проводимые без привлечения профессиональных брокеров или комплаенс-механизмов крупных платформ, сопровождаются повышенным процентом юридических ошибок: от игнорирования необходимости проверки продавца на предбанкротное состояние до некорректного оформления договоров купли-продажи долевой собственности.</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Стратегическое резюме</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Рынок купли-продажи машино-мест в Российской Федерации находится в фазе активного перехода от хаотичного развития к институциональной зрелости. Динамика, наблюдавшаяся в 2024-2025 годах, подтверждает статус паркинга как высокодоходного, хотя и сложного в управлении инвестиционного актива. Стратегический горизонт 2026-2030 годов будет определяться способностью девелоперов адаптировать продукт к меняющимся габаритам автопарка и требованиям электромобильности, а также эффективностью интеграции машино-мест в доступные ипотечные продукты на фоне турбулентности ключевой ставки Банка России. Легализация теневого вторичного оборота и разрешение исторических проблем с долевой собственностью остаются важнейшими вызовами для государственной регистрационной системы и цифровых экосистем недвижимости.</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Источники</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Машино-места обогнали квартиры по росту цен - Строительная ..., дата последнего обращения: апреля 7, 2026, </w:t>
      </w:r>
      <w:hyperlink r:id="rId10">
        <w:r w:rsidDel="00000000" w:rsidR="00000000" w:rsidRPr="00000000">
          <w:rPr>
            <w:rFonts w:ascii="Arial" w:cs="Arial" w:eastAsia="Arial" w:hAnsi="Arial"/>
            <w:color w:val="0000ee"/>
            <w:sz w:val="24"/>
            <w:szCs w:val="24"/>
            <w:u w:val="single"/>
            <w:rtl w:val="0"/>
          </w:rPr>
          <w:t xml:space="preserve">https://stroygaz.ru/news/commercial/mashino-mesta-obognali-kvartiry-po-rostu-tsen/</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Декабрь стал рекордным месяцем для ипотеки Сбера в 2025 году – Домклик - Сбербанк, дата последнего обращения: апреля 7, 2026, </w:t>
      </w:r>
      <w:hyperlink r:id="rId11">
        <w:r w:rsidDel="00000000" w:rsidR="00000000" w:rsidRPr="00000000">
          <w:rPr>
            <w:rFonts w:ascii="Arial" w:cs="Arial" w:eastAsia="Arial" w:hAnsi="Arial"/>
            <w:color w:val="0000ee"/>
            <w:sz w:val="24"/>
            <w:szCs w:val="24"/>
            <w:u w:val="single"/>
            <w:rtl w:val="0"/>
          </w:rPr>
          <w:t xml:space="preserve">https://www.sberbank.ru/ru/sberpress/all/article?newsID=a7992882-f56a-4b52-afbb-7c39dfa418ed&amp;blockID=1303®ionID=77&amp;lang=ru&amp;type=NEWS</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Количество легковых автомобилей в России достигло 47,5 миллионов - Tek.fm, дата последнего обращения: апреля 7, 2026, </w:t>
      </w:r>
      <w:hyperlink r:id="rId12">
        <w:r w:rsidDel="00000000" w:rsidR="00000000" w:rsidRPr="00000000">
          <w:rPr>
            <w:rFonts w:ascii="Arial" w:cs="Arial" w:eastAsia="Arial" w:hAnsi="Arial"/>
            <w:color w:val="0000ee"/>
            <w:sz w:val="24"/>
            <w:szCs w:val="24"/>
            <w:u w:val="single"/>
            <w:rtl w:val="0"/>
          </w:rPr>
          <w:t xml:space="preserve">https://news.tek.fm/news/274058</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Ввод жилья в России по итогам 2025 года превысил 107 млн кв. м, дата последнего обращения: апреля 7, 2026, </w:t>
      </w:r>
      <w:hyperlink r:id="rId13">
        <w:r w:rsidDel="00000000" w:rsidR="00000000" w:rsidRPr="00000000">
          <w:rPr>
            <w:rFonts w:ascii="Arial" w:cs="Arial" w:eastAsia="Arial" w:hAnsi="Arial"/>
            <w:color w:val="0000ee"/>
            <w:sz w:val="24"/>
            <w:szCs w:val="24"/>
            <w:u w:val="single"/>
            <w:rtl w:val="0"/>
          </w:rPr>
          <w:t xml:space="preserve">https://www.irn.ru/news/160076-vvod-zhilya-v-rossii-po-itogam-2025-goda-prevysil.html</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В России за первое полугодие 2025 года поставили на кадастровый учет 78 тысяч машино-мест - Строительная газета, дата последнего обращения: апреля 7, 2026, </w:t>
      </w:r>
      <w:hyperlink r:id="rId14">
        <w:r w:rsidDel="00000000" w:rsidR="00000000" w:rsidRPr="00000000">
          <w:rPr>
            <w:rFonts w:ascii="Arial" w:cs="Arial" w:eastAsia="Arial" w:hAnsi="Arial"/>
            <w:color w:val="0000ee"/>
            <w:sz w:val="24"/>
            <w:szCs w:val="24"/>
            <w:u w:val="single"/>
            <w:rtl w:val="0"/>
          </w:rPr>
          <w:t xml:space="preserve">https://stroygaz.ru/news/infrastructure/v-rossii-za-pervoe-polugodie-2025-goda-postavili-na-kadastrovyy-uchet-78-tysyach-mashino-mest/</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Машино-места в России: прогноз роста цен на 5–10% в 2026 году и выгодные инвестиции | MK Property, дата последнего обращения: апреля 7, 2026, </w:t>
      </w:r>
      <w:hyperlink r:id="rId15">
        <w:r w:rsidDel="00000000" w:rsidR="00000000" w:rsidRPr="00000000">
          <w:rPr>
            <w:rFonts w:ascii="Arial" w:cs="Arial" w:eastAsia="Arial" w:hAnsi="Arial"/>
            <w:color w:val="0000ee"/>
            <w:sz w:val="24"/>
            <w:szCs w:val="24"/>
            <w:u w:val="single"/>
            <w:rtl w:val="0"/>
          </w:rPr>
          <w:t xml:space="preserve">https://mkproperty.ru/news/mashinomesta-v-rossii-prognoz-rosta-cen-na-5%E2%80%9310-v-2026-godu-i-vygodnye-investicii</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Более 30% ипотечных сделок в 2025 году проводятся с использованием материнского капитала – исследование Домклик ко Дню матери - Сбербанк, дата последнего обращения: апреля 7, 2026, </w:t>
      </w:r>
      <w:hyperlink r:id="rId16">
        <w:r w:rsidDel="00000000" w:rsidR="00000000" w:rsidRPr="00000000">
          <w:rPr>
            <w:rFonts w:ascii="Arial" w:cs="Arial" w:eastAsia="Arial" w:hAnsi="Arial"/>
            <w:color w:val="0000ee"/>
            <w:sz w:val="24"/>
            <w:szCs w:val="24"/>
            <w:u w:val="single"/>
            <w:rtl w:val="0"/>
          </w:rPr>
          <w:t xml:space="preserve">https://www.sberbank.ru/ru/sberpress/all/article?newsID=1cee139e-f3ab-4fde-b8fe-0dbea638d858&amp;blockID=1303®ionID=36&amp;lang=ru&amp;type=NEWS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berbank.ru/ru/sberpress/all/article?newsID=a7992882-f56a-4b52-afbb-7c39dfa418ed&amp;blockID=1303&amp;regionID=77&amp;lang=ru&amp;type=NEWS" TargetMode="External"/><Relationship Id="rId10" Type="http://schemas.openxmlformats.org/officeDocument/2006/relationships/hyperlink" Target="https://stroygaz.ru/news/commercial/mashino-mesta-obognali-kvartiry-po-rostu-tsen/" TargetMode="External"/><Relationship Id="rId13" Type="http://schemas.openxmlformats.org/officeDocument/2006/relationships/hyperlink" Target="https://www.irn.ru/news/160076-vvod-zhilya-v-rossii-po-itogam-2025-goda-prevysil.html" TargetMode="External"/><Relationship Id="rId12" Type="http://schemas.openxmlformats.org/officeDocument/2006/relationships/hyperlink" Target="https://news.tek.fm/news/2740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mkproperty.ru/news/mashinomesta-v-rossii-prognoz-rosta-cen-na-5%E2%80%9310-v-2026-godu-i-vygodnye-investicii" TargetMode="External"/><Relationship Id="rId14" Type="http://schemas.openxmlformats.org/officeDocument/2006/relationships/hyperlink" Target="https://stroygaz.ru/news/infrastructure/v-rossii-za-pervoe-polugodie-2025-goda-postavili-na-kadastrovyy-uchet-78-tysyach-mashino-mest/" TargetMode="External"/><Relationship Id="rId16" Type="http://schemas.openxmlformats.org/officeDocument/2006/relationships/hyperlink" Target="https://www.sberbank.ru/ru/sberpress/all/article?newsID=1cee139e-f3ab-4fde-b8fe-0dbea638d858&amp;blockID=1303&amp;regionID=36&amp;lang=ru&amp;type=NEW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