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bki65m4t70rx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Курсовой проект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Дисциплина: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«Создание продуктовой концепции» (Концепция цифрового продукта)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Продуктовая концепция цифрового транзакционного сервиса безопасной купли-продажи машино-мест на вторичном рынке (C2C) для экосистемы «Домклик»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Лукошина Екатерина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Год: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Титульный лист оформляется по официальному шаблону вуза (Приложение 1 методических указаний). Данная страница — рабочая обложка сводного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ekc7s1t1f0mj" w:id="1"/>
    <w:bookmarkEnd w:id="1"/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Состав команды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в проекте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Фото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Лукошина Екатерина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Lead (исследование, продуктовая концепция, экономика)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(вставить фото)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(участник 2 — 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(роль)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(фото)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оформляется на отдельном листе; обязательны ФИО и фотография каждого участника (п. требований методички). Заполнить фактическим составом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uks8bmhbmkv0" w:id="2"/>
    <w:bookmarkEnd w:id="2"/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Оглавление</w:t>
      </w:r>
    </w:p>
    <w:sdt>
      <w:sdtPr>
        <w:id w:val="-8432371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  <w:t xml:space="preserve">Оглавление обновится автоматически: правый клик по полю → «Обновить поле» (или выделить всё и нажать F9).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3w4y5gfk6q3u" w:id="3"/>
    <w:bookmarkEnd w:id="3"/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Актуальность.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Рынок машино-мест (ММ) в России переживает быструю формализацию: с 2017 года, когда поправками к статье 130 ГК РФ машино-место закреплено как самостоятельный объект недвижимости, на кадастровый учёт поставлено более 1 млн объектов, а цены в городах-миллионниках за 2024–2026 годы выросли на 60–90%. При этом сегмент остаётся «слепой зоной» цифровизации: по экспертным оценкам, свыше 80% C2C-сделок совершается в «серой» зоне — в домовых чатах, с расчётами наличными или переводами на карту, сопряжёнными с риском мошенничества, блокировок по 115-ФЗ и многодневной бюрократией МФЦ. Профессиональные посредники игнорируют нишу из-за низкого среднего чека, а PropTech-платформы ограничиваются витриной объявлений и не закрывают саму сделку. Возникает разрыв между растущим формализованным капиталом и архаичной, высокорисковой инфраструктурой его оборота.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Отсутствует безопасный, стандартизированный и недорогой цифровой процесс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закрытия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уже согласованной C2C-сделки с машино-местом, который снимал бы взаимное недоверие сторон без обращения к проценту риелторской комиссии и без офлайн-визитов.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Объект исследования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вторичный C2C-рынок купли-продажи машино-мест в крупных городах РФ.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 исследования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продуктовая концепция цифрового транзакционного сервиса безопасного закрытия C2C-сделок с машино-местами как инфраструктурного решения экосистемы «Домклик».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работы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разработать и обосновать концепцию минимально жизнеспособного продукта (MVP) — инфраструктурного сервиса «P2P-ссылка Домклик», обеспечивающего безопасные расчёты и электронную регистрацию C2C-сделки с машино-местом за фиксированную плату, и доказать его пользовательскую, продуктовую и экономическую состоятельность.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(соответствуют структуре работы):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Оценить контекст, масштаб рынка и текущие альтернативы (PESTEL, SWOT, TAM/SAM/SOM, анализ конкурентов и «теневого сектора», 5 сил Портера).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Провести исследование аудитории, выявить Jobs-to-be-Done, боли и сегменты (глубинные интервью, опрос N=150, частотный анализ).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Спроектировать карту текущего (AS-IS) и целевого (TO-BE) клиентского пути и приоритизировать продуктовые гипотезы (CJM, RICE).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ключевые гипотезы через прототип и тестирование (Moments of Truth, Service Blueprint, usability-тест, анализ воронки).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Сформировать состав MVP и обосновать unit-экономику (User Story Map, Lean Canvas, LTV/CAC, BEP, P&amp;L).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Оценить риски, стратегию вывода на рынок (GTM), операционную модель и лимиты масштабирования.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Методы исследования.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Стратегический анализ (PESTEL, SWOT, 5 сил Портера, Lean Canvas), оценка рынка (TAM/SAM/SOM), продуктовые фреймворки (JTBD, CJM, RICE, Service Blueprint, User Story Map), unit-экономический анализ; эмпирическая база — 10 глубинных интервью, 3 фокус-группы, онлайн-опрос (N=150) и анализ вторичных данных (Росреестр, «Циан», «Домклик», «Авито»).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 Star Metric проекта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количество успешно закрытых и зарегистрированных в Росреестре C2C-сделок (аудиторная проекция на 1-й год — 100 000 уникальных пользователей, завершивших безопасную сделку). Финансовый ориентир (300 млн ₽) рассматривается как долгосрочный Guardrail, а не как операционная цель года 1; метрика MAU отвергнута как нерелевантная эпизодическому транзакционному продукту.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Стратегические ограничения концепции (hard-blocks):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монетизация — только фиксированный сервисный сбор за транзакционные услуги (СБР и электронная регистрация), без процентной агентской комиссии; без ипотечных и кредитных инструментов в продукте; без инвестиционных токенов и спекулятивных моделей; фокус строго на вторичном C2C-рынке.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работы.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Работа построена по логике Product Discovery: главы 1–2 раскрывают контекст, рынок и цели; глава 3 — исследование аудитории; глава 4 — проектирование и тестирование клиентского пути; главы 5–6 — состав MVP и экономическое обоснование; главы 7–10 — риски, GTM, команда и лимиты масштабирования; глава 11 — стратегический вывод. Детализирующие материалы вынесены в приложения.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1ja5rnhi289g" w:id="4"/>
    <w:bookmarkEnd w:id="4"/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Глава 1. Краткое описание проекта</w:t>
      </w:r>
    </w:p>
    <w:bookmarkStart w:colFirst="0" w:colLast="0" w:name="bookmark=id.b8j5z74308jy" w:id="5"/>
    <w:bookmarkEnd w:id="5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1.1. Описание проекта и логика продуктового решения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Рынок купли-продажи машино-мест — специфический сегмент вторичной недвижимости: средний чек ниже, чем в сделках с жильём, а сама сделка привязана к локальному контексту конкретного дома или ЖК. Пользовательский путь формируется не вокруг публичного массового рынка, а вокруг ограниченного круга участников, для которых критичны доверие, скорость коммуникации и простота оформления. Действующие способы решения задачи фрагментированы и не обеспечивают полного цифрового сопровождения сделки.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Текущий сценарий распадается на разрозненные этапы: поиск предложения в локальных каналах → самостоятельная проверка объекта → неформальные договорённости → ручная организация расчётов → офлайн-оформление в МФЦ. На каждом этапе возникают риски и издержки, непропорционально высокие для относительно небольшой по сумме сделки. Исследование аудитории (Глава 3) подтверждает: ключевые барьеры сосредоточены не в отсутствии витрины, а в отсутствии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структурированного и безопасного процесса сделки как такового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(юридический страх — 92% респондентов, страх мошенничества — 82%, долгий процесс — 76%).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Продуктовый тезис.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Домклик выходит в нишу не как ещё одна площадка объявлений, а как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инфраструктурный посредник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переводящий разрозненный путь пользователя в единый цифровой контур: поиск → проверка юридического статуса → согласование условий → безопасные расчёты → электронное оформление. Ценность — не в «поиске контрагента» (он уже произошёл в чате ЖК), а в безопасном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закрытии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сделки в условиях взаимного недоверия сторон.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to be Done (ядровая формулировка):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«Когда я уже договорился с соседом о купле-продаже машино-места, я хочу обменять деньги на право собственности так, чтобы никому не пришлось рисковать первым и тратить дни на МФЦ, — чтобы закрыть сделку за вечер.»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Принципиально: продукт продаёт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доверие между соседями, а устранение потребности в нём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(trustless-сделка через эскроу). Это снимает кажущееся противоречие — доверия достаточно, чтобы согласовать цену, но недостаточно, чтобы перевести 1,5 млн ₽ первым.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Минимальный контур продукта (MVP-ядро):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Модуль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Закрываемый барьер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Цифровая сделка (УКЭП/Госключ)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Подписание ДКП и подача на регистрацию онлайн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Поход в МФЦ, срок 7–14 дней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Безопасные расчёты (СБР/эскроу)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Заморозка средств в Сбере до перехода права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Страх мошенничества, риск 115-ФЗ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Автопроверка ЕГРН + классификатор объекта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Прозрачность обременений + маршрутизация по типу права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Юридическая неопределённость, тупик «долевой собственности»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Единый интерфейс сделки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Исключение переходов между несвязанными сервисами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Фрагментация пути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Расширенный контур (фазы Growth) — AI-оценка стоимости, пакетное оформление для инвесторов, налоговое сопровождение продавца — добавляется после подтверждения базового доверия к цифровому сценарию.</w:t>
      </w:r>
    </w:p>
    <w:bookmarkStart w:colFirst="0" w:colLast="0" w:name="bookmark=id.rq98emhekcx4" w:id="6"/>
    <w:bookmarkEnd w:id="6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1.2. Ожидаемые эффекты и иерархия метрик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Эффект оценивается на трёх уровнях — пользовательском, продуктовом, бизнесовом, — но управляется через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единую иерархию метрик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одной North Star.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 Star Metric (NSM): количество успешно закрытых безопасных C2C-сделок, зарегистрированных в Росреестре через платформу.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Эта метрика объединяет пользовательскую ценность (сделка состоялась и безопасна) и бизнес-результат (каждая закрытая сделка = фиксированный fee), опережает выручку и не «гэймится» без реальной пользы (регистрация в ЕГРН — внешняя верифицируемая отсечка).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Обоснование выбора NSM (ответ на стратегический вопрос):</w:t>
      </w: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Кандидат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Решение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Аргумент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 млн ₽ чистой прибыли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Guardrail (финцель), не NSM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Запаздывающая метрика; недостижима в год 1 (модель даёт 80–120 млн ₽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валового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комиссионного дохода)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+500k MAU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Отклонён (anti-pattern)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MAU мерит рекуррентность; покупка ММ эпизодична (раз в годы). Оптимизация под MAU сместила бы фокус к витрине — против стратегии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+100k уникальных пользователей (UX)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Принят как прокси NSM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пользователи,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завершившие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безопасную сделку — прямое выражение доставленной ценности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Иерархия метрик:</w:t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8.0" w:type="dxa"/>
        <w:tblLayout w:type="fixed"/>
        <w:tblLook w:val="00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Уровень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Метрики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Закрытые зарегистрированные сделки / период (прокси: +100k уникальных пользователей)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Input-рычаги (опережающие)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Конверсия «генерация ссылки → оплаченная сделка» (цель ≥15%); Time-to-close (≤24 ч); completion rate цифрового сценария; K-factor приглашений «продавец→покупатель»; доля объектов «самостоятельный объект» по ЕГРН-классификатору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Пользовательские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Среднее время сделки; доля сделок без офлайн-визита; CSI/NPS после сделки; доля прохождения ключевых этапов без отказа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Бизнес-Guardrails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Комиссионный доход и путь к 300 млн ₽; GMV сегмента; стоимость сопровождения сделки; CAC/LTV; ROI пилота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Бизнес-эффект — перевод части неформального рынка в контур платформы и создание нового потока неипотечных сделок. Оценка SAM вторичного C2C-рынка ММ в миллионниках — ~180–200 млрд ₽; консервативный SOM год-1 (1–3% SAM) формирует измеримый транзакционный доход уже на пилоте (см. 2.1.4).</w:t>
      </w:r>
    </w:p>
    <w:bookmarkStart w:colFirst="0" w:colLast="0" w:name="bookmark=id.rj8iu67u74qa" w:id="7"/>
    <w:bookmarkEnd w:id="7"/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1.3. Место проекта в экосистеме Домклик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— не изолированная инициатива, а элемент экосистемной логики. Его ценность определяется и самостоятельным спросом, и тем, как новый сценарий встраивается в существующую инфраструктуру платформы.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Домклик это расширение присутствия в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неипотечном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сегменте недвижимости — низкий средний чек, слабый интерес посредников, высокая доля локальных неформальных практик. Платформенный игрок, предлагающий безопасный стандартизированный процесс, занимает нишу, где традиционные механики рынка неэффективны. Усиление экосистемы идёт по трём направлениям: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Переиспользование инфраструктуры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(СБР, электронное сопровождение, проверка объекта) → низкий CapEx и быстрый Time-to-market.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Новый паттерн входа в экосистему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не через ипотеку/квартиру, а через локальную «парковочную» потребность, с последующим вовлечением в смежные сервисы.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Рост продуктового покрытия и LTV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пользователь, прошедший сделку в доверенном контуре, воспринимает платформу как универсальную точку решения задач с недвижимостью (кросс-сейл экосистемных продуктов Сбера на следующих жизненных циклах — отдельный эффект, не часть монетизации данного продукта).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Логика дистрибуции (бьётся с юнит-экономикой малочековой сделки):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основной канал — виральная петля «продавец → покупатель» (CAC второй стороны ≈ 0: покупатель приходит по ссылке продавца в тот же чат, где они сматчились); вход в гиперлокальное комьюнити — легитимно через B2B2C-партнёрство с УК/застройщиком (виджет, QR в паркинге, онбординг при сдаче объекта), а не «партизанским» посевом в закрытых чатах. Развёрнутая GTM — Глава 8.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Таким образом, продукт одновременно (а) самостоятельное решение, (б) механизм перевода неформального рынка в цифровую среду, (в) инструмент расширения неипотечного направления экосистемы.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panl79hyelv" w:id="8"/>
    <w:bookmarkEnd w:id="8"/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Глава 2. Анализ рыночной ситуации, целей и задач бизнеса</w:t>
      </w:r>
    </w:p>
    <w:bookmarkStart w:colFirst="0" w:colLast="0" w:name="bookmark=id.bc74f436bu7q" w:id="9"/>
    <w:bookmarkEnd w:id="9"/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2.1. Оценка объёма рынка купли-продажи ММ в РФ</w:t>
      </w:r>
    </w:p>
    <w:bookmarkStart w:colFirst="0" w:colLast="0" w:name="bookmark=id.kbselnpxr6hs" w:id="10"/>
    <w:bookmarkEnd w:id="10"/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2.1.1. Общая характеристика и тенденции (2024–2026)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Рынок переживает трансформацию: устойчивый рост формализации (постановка на кадастровый учёт — следствие законодательных изменений 2017 г.) при цикличности первичных сделок, зависящей от доступности ипотеки и потребительской активности.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данным Росреестра, за 2024 г. на кадастровый учёт поставлено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145,6 тыс.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машино-мест — один из максимумов с 2017 г. За H1’2025 динамика ускорилась: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тыс.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объектов (+21% к H1’2024 — 64,4 тыс.). Суммарно с 2017 г. по осень 2025 г. 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более 1 млн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ММ общей площадью 15,6 млн кв. м. Это необратимый переход сегмента из «серой» зоны в юридически оформленное поле.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География концентрирована. ЦФО — лидер: за H1’2025 — 31,7 тыс. объектов (+40% г/г), из них 24,7 тыс. — Москва. Далее ЮФО (11,3 тыс.; 8 тыс. — Краснодарский край) и СЗФО (8,2 тыс.; 6 тыс. — Санкт-Петербург). Выраженный рост в СФО (+50% г/г, ~6 тыс.) указывает на распространение тренда за пределы традиционных мегаполисов.</w:t>
      </w:r>
    </w:p>
    <w:bookmarkStart w:colFirst="0" w:colLast="0" w:name="bookmark=id.9pxxapslm0kc" w:id="11"/>
    <w:bookmarkEnd w:id="11"/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2.1.2. Динамика сделок и цен в Москве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2024 г. — рекорд: в старых границах продано 16 122 ММ (+22,5% г/г), с Новой Москвой — 22,12 тыс. сделок (+33% г/г). Драйвер — эффект отложенного спроса (довыкуп ММ с лагом 1–2 года после рекордных продаж жилья 2023 г.).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2025 г. — коррекция: в новостройках Москвы реализовано 16,9 тыс. ММ (–22% к 2024 г.). Сдерживающий фактор — высокая ставка ЦБ; доля ипотеки в сегменте ММ — лишь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что делает рынок чувствительным к стоимости денег. Соотношение ММ к жилым лотам снизилось с 23% (2024) до 19% (2025).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падении объёма цены росли (сжатие экспозиции + смещение к дорогому подземному паркингу): средняя цена предложения ММ в новостройках Москвы за 2025 г. +32,1% 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3,7 млн ₽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в комфорт-классе (апрель 2026) — 3,3 млн ₽ (+26,6% г/г). По «Циан», в начале 2026 г. подземное ММ в «старой» Москве — 4,1 млн ₽ (+15–18% г/г), наземное — 3,9 млн ₽. Экспозиция к декабрю 2025 г. — 15,6 тыс. ММ (–22,8% г/г). Прогноз НДВ на 2026 г. — рост цен +7–10% по классам.</w:t>
      </w:r>
    </w:p>
    <w:bookmarkStart w:colFirst="0" w:colLast="0" w:name="bookmark=id.um9sf7a1q8wh" w:id="12"/>
    <w:bookmarkEnd w:id="12"/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2.1.3. Динамика цен в регионах и миллионниках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Рост цен — общероссийское явление. По «Авито Недвижимость», спрос на ММ в июне 2024 г. +19% г/г по стране (в отдельных регионах — в 2,8–2,9 раза); средняя цена покупки по РФ (середина 2024 г.) — 975 тыс. ₽. По аналитике «Домклик», за год к октябрю 2025 г. медианная цена ММ в миллионниках +35,4% → 1,2 млн ₽ (опережает гаражи +11,8% и жилищную инфляцию). По «Циан», средняя цена проданного ММ в строящихся новостройках миллионников в 2025 г. — 1,58 млн ₽ (+21% г/г).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2.1. Средняя стоимость продажи ММ в городах-миллионниках (2025)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Ind w:w="-108.0" w:type="dxa"/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Город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Ср. цена, тыс. ₽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Динамика г/г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Москва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3 595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+31%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Нижний Новгород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2 392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+49%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Челябинск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2 040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+18%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Красноярск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1 657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+31%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Санкт-Петербург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1 651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Пермь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1 688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+12%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Екатеринбург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1 534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+22%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Казань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1 256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+18%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Краснодар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+45%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Волгоград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899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+18%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Среднее по млн+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1 591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+21%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Источник: «Циан», 2026.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2024–2026 гг. стоимость ММ в большинстве миллионников выросла на 60–90% — кратно выше инфляции и динамики цен на квартиры.</w:t>
      </w:r>
    </w:p>
    <w:bookmarkStart w:colFirst="0" w:colLast="0" w:name="bookmark=id.h1msyhzhbnhj" w:id="13"/>
    <w:bookmarkEnd w:id="13"/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2.1.4. Оценка объёма рынка: TAM → SAM → SOM (flow-логика)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Транзакционный продукт измеряется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потоком сделок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не запасом активов. Поэтому воронка рынка построена по годовому обороту сделок; стоимость всего стока ММ (~450–500 млрд ₽) сохранена как справочная величина запаса, но не как TAM.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2.2. Оценка объёма рынка (TAM/SAM/SOM)</w:t>
      </w:r>
      <w:r w:rsidDel="00000000" w:rsidR="00000000" w:rsidRPr="00000000">
        <w:rPr>
          <w:rtl w:val="0"/>
        </w:rPr>
      </w:r>
    </w:p>
    <w:tbl>
      <w:tblPr>
        <w:tblStyle w:val="Table6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Уровень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(flow)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Годовой ₽-объём всех C2C-сделок с ММ в РФ = (число сделок/год × средний чек); ~150 тыс. сделок × ~1,2–1,6 млн ₽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~180–240 млрд ₽/год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(справочно: стоимость всего стока — ~450–500 млрд ₽)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Вторичный C2C-рынок ММ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 отдельным кадастровым №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(юридически продаваемых во frictionless-флоу) в миллионниках; ~100–150 тыс. транзакций/год, вкл. «серые»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~180–200 млрд 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 (год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Консервативный захват нового продукта —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1–3% SAM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 пилотной географии × фикс. fee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оборот ~1,8–6 млрд ₽ / комиссионный доход в десятки млн ₽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Прежняя оценка SOM в 15% SAM/год-1 заменена на 1–3% как реалистичную для запуска с нуля. Реальное число транзакций на вторичном рынке кратно выше официальной статистики кадастра, т.к. значительная часть сделок проходит вне регистрации (чаты, наличные, занижение стоимости в договоре) — это и есть адресуемый объём «обеления».</w:t>
      </w:r>
    </w:p>
    <w:bookmarkStart w:colFirst="0" w:colLast="0" w:name="bookmark=id.27qga6v52omh" w:id="14"/>
    <w:bookmarkEnd w:id="14"/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2.2. Конкурентный ландшафт и «теневой сектор»</w:t>
      </w:r>
    </w:p>
    <w:bookmarkStart w:colFirst="0" w:colLast="0" w:name="bookmark=id.t1ac3gwu590o" w:id="15"/>
    <w:bookmarkEnd w:id="15"/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2.2.1. Прямые конкуренты (классифайды и PropTech)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Специализированных игроков нет — симптом неразвитости и одновременно возможность. Авито/ЦИАН — лидеры по объёму объявлений, но функция ограничена витриной (лидогенерация без встроенных безопасных расчётов и эл. регистрации для ММ). М2 (ВТБ) предлагает близкие инструменты, но ориентирован на агентский канал и застройщиков, не на C2C. Яндекс Недвижимость — агрегатор без транзакционной инфраструктуры для C2C.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2.3. Сравнение конкурентного ландшафта</w:t>
      </w:r>
      <w:r w:rsidDel="00000000" w:rsidR="00000000" w:rsidRPr="00000000">
        <w:rPr>
          <w:rtl w:val="0"/>
        </w:rPr>
      </w:r>
    </w:p>
    <w:tbl>
      <w:tblPr>
        <w:tblStyle w:val="Table7"/>
        <w:tblW w:w="7920.0" w:type="dxa"/>
        <w:jc w:val="left"/>
        <w:tblInd w:w="-108.0" w:type="dxa"/>
        <w:tblLayout w:type="fixed"/>
        <w:tblLook w:val="000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Критерий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Авито / ЦИАН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Домклик (текущий)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Метр Квадратный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Банк. ячейка / нотариус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P2P-ссылка Домклик (цель)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Витрина (листинг)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цель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Безопасные расчёты для ММ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Частично (офис)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Частично (агент)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 (офлайн, дорого)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Да, онлайн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Эл. регистрация для ММ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Частично (офис)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Частично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 (Fast Track)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C2C без посредников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Частично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Через мессенджер / ссылку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 (P2P-ссылка)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Тариф для ММ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3 900 ₽ + офис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ячейка ~доли %/визит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5 900 ₽, всё включено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Скорость сделки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Дни/недели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5–10 дней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5–10 дней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Дни + визиты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 24 часов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в сравнение банковской ячейки/аккредитива и нотариуса показывает источник конкурентного преимущества: продукт дешевле и быстрее «безопасных» офлайн-альтернатив и снимает офисный визит.</w:t>
      </w:r>
    </w:p>
    <w:bookmarkStart w:colFirst="0" w:colLast="0" w:name="bookmark=id.j9w4ff5e0x4y" w:id="16"/>
    <w:bookmarkEnd w:id="16"/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tl w:val="0"/>
        </w:rPr>
        <w:t xml:space="preserve">2.2.2. Косвенные конкуренты — «теневой сектор» как главный соперник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Главный конкурент — не платформа, а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поведенческая модель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договорённость в домовом чате с расчётами наличными/переводом на карту (риск блокировки по 115-ФЗ). По экспертным оценкам,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&gt;80%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C2C-сделок с ММ проходят через гиперлокальные каналы. Модель порождает три барьера: (1) риск финансового мошенничества (никто не защищён при последовательной передаче денег/документов); (2) бюрократическая нагрузка (совместный МФЦ, очереди, пошлина, регистрация 7–14 дней); (3) риск блокировок по 115-ФЗ (переводы 1–3 млн ₽ между физлицами без назначения платежа systematically блокируются, срывая сделку в последний момент).</w:t>
      </w:r>
    </w:p>
    <w:bookmarkStart w:colFirst="0" w:colLast="0" w:name="bookmark=id.grmmw8mkdgx3" w:id="17"/>
    <w:bookmarkEnd w:id="17"/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2.2.3. Стратегический вывод по конкуренции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Домклик не конкурирует за «витрину» на первом этапе (зрелый рынок Авито/ЦИАН). Стратегически выгоднее занять позицию </w:t>
      </w:r>
      <w:sdt>
        <w:sdtPr>
          <w:id w:val="1286127447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безальтернативного инфраструктурного шлюза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безопасный расчёт + эл. регистрация для тех, кто уже нашёл друг друга в чате. Продукт не заменяет поиск — он решает закрытие сделки в условиях взаимного недоверия.</w:t>
      </w:r>
    </w:p>
    <w:bookmarkStart w:colFirst="0" w:colLast="0" w:name="bookmark=id.rmvivshxnki0" w:id="18"/>
    <w:bookmarkEnd w:id="18"/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2.3. Факторы спроса и рыночные драйверы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Спрос формируется структурными, долгосрочными факторами: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Расширение платной парковки.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2025 г. в Москве платная парковка введена на 129 улицах (20 июня), 209 адресах (август), 184 улицах (3 октября); до конца 2026 г. Минтранс МО планирует рост платных участков в Подмосковье с 3,8 тыс. до 30 тыс. Давление конвертируется в спрос на постоянное ММ.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«Двор без машин».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Новые ЖК проектируются без наземных дворовых парковок → структурное ограничение предложения → спрос на подземные паркинги.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Инвестиционная мотивация (драйвер спроса, не модель продукта).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высокой ставке и сжатии ипотеки ММ воспринимается как альтернативный актив: доходность аренды ~16% годовых против ~7,4% по жилью; «Коммерсантъ» (2026) фиксирует выход институционалов на рынок парковок.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Hard-block: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продукт обслуживает безопасную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транзакцию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фикс. fee и не предлагает инвестиционный инструмент, токен или гарантированную доходность.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Рост стоимости автомобилей.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цене авто 3–5 млн ₽ владельцы стремятся к крытому хранению для сохранения ликвидности ТС.</w:t>
      </w:r>
    </w:p>
    <w:bookmarkStart w:colFirst="0" w:colLast="0" w:name="bookmark=id.3dp78ddvo0pt" w:id="19"/>
    <w:bookmarkEnd w:id="19"/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2.4. SMART-формулировка целей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— Specific.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Запустить инфраструктурный микросервис «P2P-ссылка Домклик» для безопасных C2C-сделок с ММ: полный цикл «генерация ссылки → СБР-Лайт → эл. регистрация (API Росреестра Fast Track)» без обязательного визита в офис.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— Measurable.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Пилот в 5 ЖК Москвы класса «Комфорт»/«Бизнес» (каждый — через УК-партнёра с виджетом/QR);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успешно зарегистрированных сделок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(полный цикл «ссылка → выписка ЕГРН») за первые 2 месяца после релиза MVP; конверсия «ссылка → оплаченная сделка» ≥15%; среднее Time-to-close ≤24 ч.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— Achievable.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База — переиспользование протестированных модулей экосистемы (СБР, Сбер ID, Госключ — УКЭП по биометрии, прямой API Росреестра); новая разработка — облегчённый UX и адаптация API под формат P2P-ссылки.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— </w:t>
      </w:r>
      <w:sdt>
        <w:sdtPr>
          <w:id w:val="836422503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Поддерживает стратегию роста доли неипотечных сделок, диверсификации доходов и лояльности платёжеспособной аудитории ЖК комфорт/бизнес-класса. В условиях высокой ставки неипотечная монетизация приобретает критическую значимость.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— Time-bound.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Релиз MVP и старт пилота — конец Q4 2026; разработка MVP — 3–4 мес., бюджет ~8,5 млн ₽; OpEx инфраструктуры — ~6 млн ₽/год.</w:t>
      </w:r>
    </w:p>
    <w:bookmarkStart w:colFirst="0" w:colLast="0" w:name="bookmark=id.amswqrsu5rrj" w:id="20"/>
    <w:bookmarkEnd w:id="20"/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2.5. Привлекательность отрасли (5 сил Портера)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2.4. Матрица 5 сил Портера для C2C-сделок с ММ</w:t>
      </w:r>
      <w:r w:rsidDel="00000000" w:rsidR="00000000" w:rsidRPr="00000000">
        <w:rPr>
          <w:rtl w:val="0"/>
        </w:rPr>
      </w:r>
    </w:p>
    <w:tbl>
      <w:tblPr>
        <w:tblStyle w:val="Table8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Уровень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новых игроков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Нужны банковская лицензия, капитал под эскроу, защищённый канал с Росреестром — финтех-стартап не преодолеет барьер краткосрочно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Власть покупателей/продавцов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Низкий чек (в регионах 0,8–1,5 млн ₽) → ценочувствительность → рабочая модель только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фиксированный тариф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(~5 900 ₽), не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субститутов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Заменитель — долгосрочная аренда (6–15 тыс. ₽/мес); рост ставок и дефицит делают покупку выгоднее, снижая угрозу долгосрочно. Безопасный субститут расчётов — банковская ячейка (дороже, офлайн)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Власть поставщиков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C2C-модели Домклик — независимый сервисный провайдер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Внутриотраслевая конкуренция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«коробочного» решения для микросделок с нежилой недвижимостью в формате P2P без посредников — ниша свободна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Профиль отрасли благоприятен для входа. Единственная высокая сила — власть покупателей — нейтрализуется фиксированным ценообразованием и уникальной позицией «скорость + безопасность + без офисного визита».</w:t>
      </w:r>
    </w:p>
    <w:bookmarkStart w:colFirst="0" w:colLast="0" w:name="bookmark=id.fe9xvqq8qoqf" w:id="21"/>
    <w:bookmarkEnd w:id="21"/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2.6. Выводы по рыночной ситуации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Рынок ММ 2024–2026 гг. парадоксален: быстрорастущий формализованный капитал (&gt;1 млн объектов, +21% кадастра за H1’2025) обслуживается архаичными высокорисковыми методами (наличные, расписки, МФЦ). Агентства покидают нишу по марже, IT-платформы ограничиваются витриной. Для Домклик это стратегическое окно: формат «сделка по ссылке» с фиксированным тарифом создаёт (1) новый поток комиссионного дохода, (2) долгосрочную лояльность платёжеспособной аудитории ЖК комфорт/бизнес-класса (будущие потребители маржинальных продуктов экосистемы), (3) функцию легализатора рынка. Масштаб ограничен сверху юридической продаваемостью объекта (доля vs самостоятельный объект) и ценочувствительностью клиента — оба ограничения учтены в архитектуре (ЕГРН-классификатор, фикс. fee).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e0vlez8gltx" w:id="22"/>
    <w:bookmarkEnd w:id="22"/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Глава 3. Исследование аудитории и выявление потребностей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проектирования сервиса проведено смешанное исследование целевой аудитории. Цель — выявить ключевые Jobs-to-be-Done, боли и мотивации, сформулировать и приоритизировать продуктовые гипотезы.</w:t>
      </w:r>
    </w:p>
    <w:bookmarkStart w:colFirst="0" w:colLast="0" w:name="bookmark=id.yc0wowtbepx9" w:id="23"/>
    <w:bookmarkEnd w:id="23"/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3.1. Методология исследования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Применён смешанный (qual + quant) дизайн:</w:t>
      </w:r>
    </w:p>
    <w:tbl>
      <w:tblPr>
        <w:tblStyle w:val="Table9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Объём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Глубинные полуструктурированные интервью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(Москва, СПб, МО; 25–52 года)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Реконструкция JTBD и болей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Фокус-группы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(по 6–8 чел.): частные продавцы/покупатели, инвесторы, УК/застройщики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Валидация сегментов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Онлайн-опрос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 = 150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Количественная оценка частоты болей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вторичных данных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Форумы, чаты ЖК, данные Росреестра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Триангуляция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Построены CJM для трёх сценариев: текущий «ручной» опыт (чаты/расписки/МФЦ); оценка прототипа цифровой сделки; идеальный путь «в 3 клика».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выборки: опрос N=150 носит разведочный (не репрезентативный) характер; выводы валидируются на пилоте.</w:t>
      </w:r>
      <w:r w:rsidDel="00000000" w:rsidR="00000000" w:rsidRPr="00000000">
        <w:rPr>
          <w:rtl w:val="0"/>
        </w:rPr>
      </w:r>
    </w:p>
    <w:bookmarkStart w:colFirst="0" w:colLast="0" w:name="bookmark=id.a6m3kzprq20m" w:id="24"/>
    <w:bookmarkEnd w:id="24"/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3.2. Сегментирование аудитории и карта болей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3.1. Сегменты, боли, мотивации, цитаты</w:t>
      </w:r>
      <w:r w:rsidDel="00000000" w:rsidR="00000000" w:rsidRPr="00000000">
        <w:rPr>
          <w:rtl w:val="0"/>
        </w:rPr>
      </w:r>
    </w:p>
    <w:tbl>
      <w:tblPr>
        <w:tblStyle w:val="Table10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Сегмент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Ключевая боль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Мотивация (JTBD)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Характерная цитата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Частный покупатель (25–45)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Страх перевести крупную сумму «на слово»; риск проблемного объекта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Гарантированное место без риска мошенничества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«Как в сделках с квартирами — деньги в банке, продавец получает после регистрации» (Анна)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Частный продавец (30–50)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Долгий процесс, поход в МФЦ, организационные издержки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Быстро и без волокиты получить деньги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«Почему я не могу подписать договор через приложение, как в банке?» (Сергей)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Инвестор / перекупщик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Непрозрачность оценки, низкая ликвидность, ручное оформление пулов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Оценить цену и оформить несколько объектов разом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«Если покупаю 5 мест — хочу одной заявкой» (Дмитрий); «Домклик знает все сделки в ЖК — пусть подскажет цену» (Артём)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Продавец с налоговым вопросом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Неопределённость по 3-НДФЛ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Понять налог и не переплатить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«Продал место — не знаю, сколько платить. Сделайте калькулятор» (Анна)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УК / застройщик (B2B2C)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«свидетеля» при наличных расчётах жильцов, репутационный риск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Легализовать сделки жильцов, снять с себя риск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(фокус-группа) «Нам нужен инструмент, а не ответственность за чужие деньги»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3.2. Частотный анализ болей (опрос N=150)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Ind w:w="-108.0" w:type="dxa"/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Категория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Доля упоминаний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Сложность/трудоёмкость оформления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92%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Юридическая / процессная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Готовность к онлайн-сделке при юр. чистоте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89%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Спрос на решение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Гарантированное место / экономия времени на поиск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Драйвер покупки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Страх мошенничества при расчётах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82%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Финансовая безопасность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Долгий процесс (срок сделки)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76%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Желание проверить объект (ЕГРН) до сделки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70%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Юридическая прозрачность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Непрозрачность цены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54%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Ценообразование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Инвестиционный интерес (с жалобой на ликвидность)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47%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Инвестиционный мотив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Налоговая неопределённость (3-НДФЛ)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Финансовая</w:t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Выводы исследования: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главный драйвер покупки — гарантированное место и экономия времени (85%); главный барьер — юридический страх и трудоёмкость (92%); инвестпотенциал отмечают 47% (с жалобой на непрозрачность оценки и ликвидность); цифровая сделка востребована всеми сегментами — 89% готовы использовать онлайн-сервис при условии юридической чистоты.</w:t>
      </w:r>
    </w:p>
    <w:bookmarkStart w:colFirst="0" w:colLast="0" w:name="bookmark=id.ksrgu9jd7xr0" w:id="25"/>
    <w:bookmarkEnd w:id="25"/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3.3. Формирование продуктовых гипотез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Запросы пользователей («как они сами предлагали решение») переведены в продуктовые гипотезы.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3.3. Продуктовые гипотезы</w:t>
      </w:r>
      <w:r w:rsidDel="00000000" w:rsidR="00000000" w:rsidRPr="00000000">
        <w:rPr>
          <w:rtl w:val="0"/>
        </w:rPr>
      </w:r>
    </w:p>
    <w:tbl>
      <w:tblPr>
        <w:tblStyle w:val="Table12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Фича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Цель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Цифровая сделка (УКЭП)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Юридический / UI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Убрать поездки в МФЦ, ускорить процесс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Подписание ДКП в приложении через УКЭП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Безопасные расчёты (СБР/эскроу)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FinTech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Исключить риск мошенничества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Средства покупателя блокируются в Сбере до регистрации права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Автопроверка ЕГРН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/ UI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Прозрачность по обременениям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Мгновенный запрос: аресты, залоги, ипотека, запреты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AI-оценка стоимости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/ Аналитика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Решить проблему ценообразования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Модель на реальных сделках в ЖК: тип места, этаж, зарядка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Авто-расчёт налога (3-НДФЛ)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FinTech / UX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Снизить налоговые риски продавца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Расчёт налога, учёт вычетов, заполнение декларации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Пакетное оформление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B2B / UI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Покупка нескольких мест одним пользователем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Массовая загрузка кадастровых №, единый договор и платёж</w:t>
            </w:r>
          </w:p>
        </w:tc>
      </w:tr>
    </w:tbl>
    <w:bookmarkStart w:colFirst="0" w:colLast="0" w:name="bookmark=id.d7redndj58st" w:id="26"/>
    <w:bookmarkEnd w:id="26"/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3.4. Приоритизация гипотез (RICE)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выбора состава MVP применена RICE-модель. Метрика Reach приведена к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потенциальному охвату целевой воронки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(нормированному порядку величин по сегментам), а не к MAU — последняя некорректна для эпизодического транзакционного продукта и противоречила бы NSM. Confidence переведён в баллы 1–10 по шкале интерпретации (71–85% → 8–9; 51–70% → 6–7; 31–50% → 4–5). Формула: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RICE = (Reach × Impact × Confidence) / Effort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3.4. Сводная RICE-приоритизация</w:t>
      </w:r>
      <w:r w:rsidDel="00000000" w:rsidR="00000000" w:rsidRPr="00000000">
        <w:rPr>
          <w:rtl w:val="0"/>
        </w:rPr>
      </w:r>
    </w:p>
    <w:tbl>
      <w:tblPr>
        <w:tblStyle w:val="Table13"/>
        <w:tblW w:w="7917.0" w:type="dxa"/>
        <w:jc w:val="left"/>
        <w:tblInd w:w="-108.0" w:type="dxa"/>
        <w:tblLayout w:type="fixed"/>
        <w:tblLook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  <w:tblGridChange w:id="0">
          <w:tblGrid>
            <w:gridCol w:w="1131"/>
            <w:gridCol w:w="1131"/>
            <w:gridCol w:w="1131"/>
            <w:gridCol w:w="1131"/>
            <w:gridCol w:w="1131"/>
            <w:gridCol w:w="1131"/>
            <w:gridCol w:w="113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Фича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Reach (отн.)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 (1–10)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Confidence (1–10)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Effort (1–10)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RICE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ЕГРН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Макс. охват — может работать без сделки (top-of-funnel хук)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Безопасные расчёты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Простота внедрения + закрывает главный страх (82%)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Цифровая 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Основа цифрового опыта; ключ к обещанию «24 ч без МФЦ»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AI-оценка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14.0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Ценно, но требует накопления данных по сделкам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Авто-расчёт налога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3.73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Низкий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standalone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-приоритет,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 см. ниже (зависимость эскроу)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Пакетное оформление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B2B-ниша, после масштабирования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Impact-обоснования (из исследования):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долгий процесс — 76% (цифровая сделка сокращает с 10 дней до часа); страх мошенничества — 82% (эскроу снимает полностью); проверка ЕГРН до сделки — 70%; непрозрачность цены — 54%; налоговая боль — 25%.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 MVP (с учётом стратегических зависимостей):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Безопасные расчёты (СБР/эскроу)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базовая гарантия доверия (RICE 36.0, Effort 3).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ЕГРН + классификатор объекта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быстрая ценность и максимальный органический трафик (RICE 43.2); классификатор одновременно служит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квалифицирующим гейтом воронки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«самостоятельный объект» (есть кадастровый №) → Fast Track; «доля в праве» (до-2017 сток) → Assisted-флоу (нотариус), что защищает обещание «24 ч» от юридического тупика.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Цифровая сделка (УКЭП/Госключ)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включена в MVP (а не отложена), поскольку без электронного подписания и регистрации обещание «сделка за 24 ч без МФЦ» и сама NSM (зарегистрированные сделки) недостижимы. Effort умеренный (4) за счёт наработок Домклик для квартир.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d29espbtgbjk" w:id="27"/>
    <w:bookmarkEnd w:id="27"/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Глава 4. Прототипирование и тестирование решений (CJM)</w:t>
      </w:r>
    </w:p>
    <w:bookmarkStart w:colFirst="0" w:colLast="0" w:name="bookmark=id.t2ojf2v280z1" w:id="28"/>
    <w:bookmarkEnd w:id="28"/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4.1. Карта сценариев поведения пользователей (AS-IS)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текущего клиентского пути показал, что сделка в «серой зоне» — многоступенчатый высокострессовый процесс длительностью 7–14 дней. Барьеры подтверждены количественно (опрос N=150, Глава 3): трудоёмкость оформления — 92%, страх мошенничества — 82%, длительность процесса — 76%.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4.1. CJM текущего сценария (AS-IS)</w:t>
      </w:r>
      <w:r w:rsidDel="00000000" w:rsidR="00000000" w:rsidRPr="00000000">
        <w:rPr>
          <w:rtl w:val="0"/>
        </w:rPr>
      </w:r>
    </w:p>
    <w:tbl>
      <w:tblPr>
        <w:tblStyle w:val="Table14"/>
        <w:tblW w:w="7920.0" w:type="dxa"/>
        <w:jc w:val="left"/>
        <w:tblInd w:w="-108.0" w:type="dxa"/>
        <w:tblLayout w:type="fixed"/>
        <w:tblLook w:val="000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Этап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Действие пользователя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Эмоция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Барьер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для продукта (TO-BE)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Триггер и поиск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Покупатель пишет в чат ЖК «Куплю место на −1 этаже» (агрегаторы пусты)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Надежда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витрины для ММ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Мэтч сохраняется в чате — продукт не трогает поиск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Мэтчинг и торг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Владелец отвечает в личные сообщения, договариваются о цене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Позитив, «проблема решена»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Точка входа в сделку-ссылку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Физический осмотр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Встреча в паркинге (протечки, заезд, близость к лифту)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Нейтрально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Подготовка документов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Гуглят шаблон ДКП, вписывают паспорта вручную; заказывают выписку ЕГРН (до 3 дней)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Тревога, неуверенность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Барьер 1: юридические ошибки, медленная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Автогенерация ДКП + проверка ЕГRN за 5 сек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Оплата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Снять 1–3 млн ₽ наличными (риск) или перевод на карту (риск 115-ФЗ)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Пик стресса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недоверие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Барьер 2: конфликт «деньги vs документы»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Эскроу СБР: заморозка средств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Регистрация в МФЦ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Синхронизация графиков, запись (3–5 дней), совместный визит 1–2 ч, пошлина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Раздражение, усталость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Барьер 3: офлайн-рутина, отгулы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Эл. подписание (Госключ) + авто-подача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Ожидание (Dead Time)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Регистрация перехода права 5–9 раб. дней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Неопределённость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Длительность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Регистрация 12–24 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Финал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Повторный визит в МФЦ / проверка на Госуслугах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Облегчение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Ещё один офлайн-шаг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Цифровая выписка на email</w:t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Эмоциональная кривая AS-IS падает в глубокий минимум на этапах 5–6 («точка стресса» + офлайн-рутина) — именно сюда TO-BE вносит наибольшую ценность.</w:t>
      </w:r>
    </w:p>
    <w:bookmarkStart w:colFirst="0" w:colLast="0" w:name="bookmark=id.28ib66mz1o15" w:id="29"/>
    <w:bookmarkEnd w:id="29"/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4.2. Итерации по дизайн-мышлению и целевой сценарий (TO-BE)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Целевой CJM спроектирован методом дизайн-мышления с принципом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«от договорённости до сделки — не выходя из мессенджера»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цикл сокращается до 24 часов.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Мэтч (без изменений).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Договорённость достигается в чате ЖК.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Инициация (продавец).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Клик по виджету «Оформить сделку» / переход на микро-лендинг (адаптивный Web-App, без установки приложения). Продавец вводит кадастровый номер.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Моментальная верификация + классификация объекта (ключевая развилка).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Через выделенный шлюз API Росреестра за ~5 секунд запрашивается ЕГРН: ФИО владельца, аресты, обременения, ипотека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тип права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«Самостоятельный объект»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(отдельный кадастровый №) 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Track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автоматически формируется смарт-контракт, путь продолжается в self-serve.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«Доля в праве общей долевой собственности»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(до-2017 сток) 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Assisted-флоу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объект помечается, пользователь маршрутизируется на партнёрский нотариальный сценарий (выделение объекта / извещение сособственников). Обещание «24 ч» не нарушается, потому что такой объект в Fast Track не попадает.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Шеринг оффера.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Сервис генерирует уникальную криптографически защищённую P2P-ссылку; продавец копирует её и отправляет покупателю в Telegram/WhatsApp.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(Это запуск виральной петли «продавец→покупатель» — CAC второй стороны ≈ 0.)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Холдирование средств (покупатель).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Клик по ссылке → авторизация через Сбер ID (данные подтягиваются бесшовно) → верифицированная карточка объекта с пометкой «Проверено Домклик» → «Оплатить»: стоимость ММ + комиссия сервиса замораживаются на номинальном (эскроу) счёте СБР.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«Налоговый светофор» (страховка эскроу).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Перед подписанием система берёт из ЕГРН срок владения и показывает продавцу налоговый статус. Для ММ в собственности дольше минимального предельного срока НДФЛ при продаже = 0 — мотив занижать цену в ДКП исчезает, и эскроу удерживает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суммы сделки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Для случаев с налогом — прозрачный расчёт и позиционирование «полная сумма под защитой».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Цифровое подписание.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интерфейсе генерируется юридически выверенный ДКП; обе стороны подписывают через интеграцию с «Госключ» (УКЭП).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Авто-регистрация.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Домклик компилирует пакет документов и по зашифрованному каналу (СМЭВ) отправляет в Росреестр.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Разморозка (финал).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обновлении записи в Росреестре (обычно 12–24 ч) СБР получает триггер-подтверждение и автоматически зачисляет деньги продавцу. Обе стороны получают пуш-уведомления и цифровые выписки на email.</w:t>
      </w:r>
    </w:p>
    <w:bookmarkStart w:colFirst="0" w:colLast="0" w:name="bookmark=id.tk8etuml60f" w:id="30"/>
    <w:bookmarkEnd w:id="30"/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  <w:t xml:space="preserve">4.3. Оценка барьеров и поиск «Моментов истины» (Moments of Truth)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«Моменты истины» — критические точки, где пользователь решает: продолжить цифровой путь или уйти в «серую зону». Указанные приросты конверсии 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гипотезы для A/B-тестирования на пилоте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не подтверждённые факты.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4.2. Моменты истины и продуктовые решения</w:t>
      </w:r>
      <w:r w:rsidDel="00000000" w:rsidR="00000000" w:rsidRPr="00000000">
        <w:rPr>
          <w:rtl w:val="0"/>
        </w:rPr>
      </w:r>
    </w:p>
    <w:tbl>
      <w:tblPr>
        <w:tblStyle w:val="Table15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Момент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Барьер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Решение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Гипотеза эффекта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FMOT продавца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генерация и шеринг ссылки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«Долго / непонятно, что отправлять»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Виджет «Оформить сделку» в 1 клик, готовый текст-превью для чата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Рост доли инициированных сделок → запуск K-factor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FMOT покупателя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клик по ссылке в чате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Страх фишинга («это вирус от соседа?»)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Домен domclick.ru/sberbank.ru; OG-превью с логотипом и текстом «Безопасная сделка Домклик»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Рост open-rate ссылки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SMOT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авторизация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«Опять вводить паспортные данные»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 вход через Сбер ID (узнаваемая единая кнопка)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+40% перехода к ДКП (A/B)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UMOT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нажатие «Оплатить»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«А если нажму и деньги пропадут?»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Над кнопкой — гарантия: «Средства защищены номинальным счётом Сбербанка»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Рост конверсии в холдирование</w:t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FMOT продавца выделен отдельно, поскольку именно он запускает виральную петлю распространения ссылки в чате — ключевой драйвер near-zero CAC.</w:t>
      </w:r>
    </w:p>
    <w:bookmarkStart w:colFirst="0" w:colLast="0" w:name="bookmark=id.z24jdkmfxjbl" w:id="31"/>
    <w:bookmarkEnd w:id="31"/>
    <w:p w:rsidR="00000000" w:rsidDel="00000000" w:rsidP="00000000" w:rsidRDefault="00000000" w:rsidRPr="00000000" w14:paraId="00000205">
      <w:pPr>
        <w:pStyle w:val="Heading2"/>
        <w:rPr/>
      </w:pPr>
      <w:r w:rsidDel="00000000" w:rsidR="00000000" w:rsidRPr="00000000">
        <w:rPr>
          <w:rtl w:val="0"/>
        </w:rPr>
        <w:t xml:space="preserve">4.4. Сервисная схема (Service Blueprint)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Blueprint описывает действия клиента (Frontstage) и системные процессы банка (Backstage).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4.3. Service Blueprint сделки</w:t>
      </w:r>
      <w:r w:rsidDel="00000000" w:rsidR="00000000" w:rsidRPr="00000000">
        <w:rPr>
          <w:rtl w:val="0"/>
        </w:rPr>
      </w:r>
    </w:p>
    <w:tbl>
      <w:tblPr>
        <w:tblStyle w:val="Table16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Этап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Frontstage (пользователь)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Backstage (системы)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Внешние зависимости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Инициация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Продавец вводит кадастровый номер</w:t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Запрос к кэшу Домклик и ФГИС ЕГРН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Росреестр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Классификация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Видит статус «Проверено» / маршрут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Определение типа права (объект vs доля), ветвление флоу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ФГИС ЕГРН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Валидация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Покупатель проверяет данные объекта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Сверка ФИО владельца со Сбер ID продавца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KYC Сбербанка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Налоговый статус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Продавец видит «Налоговый светофор»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Расчёт срока владения и НДФЛ из данных ЕГРН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ФНС/НК (справочно)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Платёж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Покупатель подтверждает оплату (SMS)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Блокировка суммы на номинальном счёте 40911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АБС Сбербанка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Подписание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Обе стороны переходят в Госключ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Генерация хэша документа, передача в СМЭВ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Госключ (Минцифры)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Получение выписки на email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Триггер: запись в Росреестре → разморозка СБР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Росреестр</w:t>
            </w:r>
          </w:p>
        </w:tc>
      </w:tr>
    </w:tbl>
    <w:bookmarkStart w:colFirst="0" w:colLast="0" w:name="bookmark=id.o2fj2pcstwbz" w:id="32"/>
    <w:bookmarkEnd w:id="32"/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4.5. Результаты качественного тестирования прототипа (Usability Testing)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Проведено разведочное «коридорное» тестирование </w:t>
      </w:r>
      <w:sdt>
        <w:sdtPr>
          <w:id w:val="-668715784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кликабельного прототипа (Figma)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группе из 8 жителей ЖК «Сердце Столицы». Выборка не репрезентативна; выводы валидируются на пилоте.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Ключевые инсайты: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Позитив: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100% респондентов отметили «вау-эффект» автозаполнения ДКП после входа через Сбер ID.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Негатив (терминология):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 из 8 не поняли термин «СБР-Лайт» → заменён на понятный «Безопасный счёт Сбера».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Критический фидбек (монетизация):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запрос «разделить комиссию сервиса 50/50» прямо в интерфейсе. Гипотеза «платит только покупатель» требует гибкой настройки.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итерации.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прототип добавлена кнопка «Разделить оплату сервиса 50/50». Бизнес-эффект выходит за рамки UX: справедливое распределение фикс. комиссии повышает готовность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продавца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рекомендовать сервис в чате, что напрямую усиливает виральную петлю «продавец→покупатель» и снижает CAC.</w:t>
      </w:r>
    </w:p>
    <w:bookmarkStart w:colFirst="0" w:colLast="0" w:name="bookmark=id.mufff68eii2u" w:id="33"/>
    <w:bookmarkEnd w:id="33"/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4.6. Анализ отказов и доработка конверсии (Funnel Optimization)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прототипе смоделирована система анализа причин отказа (Churn Analysis) по этапам воронки. Данные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прогнозные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 основе прототипа), поскольку MVP запускается в Q4 2026.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4.4. Узкие места воронки и меры</w:t>
      </w:r>
      <w:r w:rsidDel="00000000" w:rsidR="00000000" w:rsidRPr="00000000">
        <w:rPr>
          <w:rtl w:val="0"/>
        </w:rPr>
      </w:r>
    </w:p>
    <w:tbl>
      <w:tblPr>
        <w:tblStyle w:val="Table17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Этап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Доля отказов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Причина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Выбор объекта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 не найден по кадастровому № (задержки баз Росреестра)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«Ручной ввод адреса» + фоновая валидация юристом Домклик за 30 мин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Подписание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установлен «Госключ»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Промежуточный экран с QR на App Store/RuStore + видео «Как выпустить подпись за 2 минуты»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Оплата</w:t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Лимиты на переводы в банковских приложениях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с СБП и SberPay в обход лимитов дебетовых карт</w:t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Совокупный эффект мер — рост прогнозной конверсии «клик по P2P-ссылке → успешная регистрация»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12% до 28%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Это превышает целевой ориентир из Главы 2 (конверсия «ссылка → оплаченная сделка» ≥15%) и является сильным показателем для сложных Fintech-продуктов. Поскольку конверсия «клик → регистрация» — прямой рычаг North Star Metric (количество закрытых зарегистрированных сделок), funnel-оптимизация рассматривается как приоритетный инструмент роста NSM на пилоте.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ihti79ukfd4y" w:id="34"/>
    <w:bookmarkEnd w:id="34"/>
    <w:p w:rsidR="00000000" w:rsidDel="00000000" w:rsidP="00000000" w:rsidRDefault="00000000" w:rsidRPr="00000000" w14:paraId="00000244">
      <w:pPr>
        <w:pStyle w:val="Heading1"/>
        <w:rPr/>
      </w:pPr>
      <w:r w:rsidDel="00000000" w:rsidR="00000000" w:rsidRPr="00000000">
        <w:rPr>
          <w:rtl w:val="0"/>
        </w:rPr>
        <w:t xml:space="preserve">Глава 5. Пользовательские сценарии и MVP</w:t>
      </w:r>
    </w:p>
    <w:bookmarkStart w:colFirst="0" w:colLast="0" w:name="bookmark=id.izob29ibf1c4" w:id="35"/>
    <w:bookmarkEnd w:id="35"/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5.1. Состав MVP: User Story Map (Release 1 / 2 / 3)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минимален по числу функций, но полноценен по качеству (принцип «скейтборд, а не колесо»). Для минимизации Time-to-Market (≤4 мес.) и CapEx Release 1 — это stand-alone веб-приложение (микро-лендинг), пригодное для виральной передачи ссылки, без тяжёлого нативного интерфейса.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5.1. Бэклог продукта и состав MVP (User Story Map)</w:t>
      </w:r>
      <w:r w:rsidDel="00000000" w:rsidR="00000000" w:rsidRPr="00000000">
        <w:rPr>
          <w:rtl w:val="0"/>
        </w:rPr>
      </w:r>
    </w:p>
    <w:tbl>
      <w:tblPr>
        <w:tblStyle w:val="Table18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Эпик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Release 1 — MVP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(цель: подтвердить Time-to-close ≤24 ч и unit-экономику)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Release 2 — v1.1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(цель: обеление + виральность)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Release 3 — v2.0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(цель: масштабирование и B2B/B2B2C)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Авторизация и онбординг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Вход по Сбер ID (предзаполнение данных, онбординг ~15 сек)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Кастомный онбординг для B2B-клиентов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Core: проверка объекта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 Track ЕГРН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классификатор типа права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(объект → Fast Track; доля → Assisted-флоу)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AI-оценка стоимости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Core: безопасная сделка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Генератор P2P-ссылок (TTL 48 ч) + СБР-Лайт (номинальный счёт, без менеджера) + смарт-ДКП + подписание в Госключе (УКЭП)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Сплит комиссии 50/50; шеринг-механики (виральная петля)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Пакетное оформление (Excel-загрузка кадастровых №)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Налоги / обеление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«Налоговый светофор» (показ налогового статуса из срока владения ЕГРН)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«Авто-Налог»: расчёт НДФЛ и формирование платёжного поручения из размороженных средств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Дистрибуция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API/SDK для УК (B2B2C-виджет), B2B-кабинет инвестора (канбан статусов)</w:t>
            </w:r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Обоснование состава Release 1.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MVP входит ровно минимальный trustless-контур, закрывающий ядровой JTBD «безопасно обменять деньги на право собственности, не выходя из чата»: верификация объекта (с отсечением долевой собственности), эскроу-расчёт, электронное подписание и регистрация. Всё остальное (виральность, налоговый платёж, B2B/B2B2C) отложено, пока не подтверждена unit-экономика. «Налоговый светофор» включён уже в MVP в информационном виде, потому что он снимает мотив занижать цену в ДКП и тем защищает эскроу на 100% суммы.</w:t>
      </w:r>
    </w:p>
    <w:bookmarkStart w:colFirst="0" w:colLast="0" w:name="bookmark=id.t4u8tiwa5705" w:id="36"/>
    <w:bookmarkEnd w:id="36"/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tl w:val="0"/>
        </w:rPr>
        <w:t xml:space="preserve">5.2. Фаза Growth: обеление, B2B и B2B2C-дистрибуция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подтверждения unit-экономики внедряются фичи максимизации охвата и LTV: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«Авто-Налог» (обеление).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владении ММ меньше предельного срока продавец платит НДФЛ 13%, что толкает в «серую» зону (занижение цены). Сервис автоматически считает налог и с согласия пользователя формирует платёжное поручение в ФНС, удерживая сумму из размороженных средств. Эффект: снятие барьера декларации 3-НДФЛ + прямой вклад в легализацию сегмента (стратегический вектор №3).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B2B-кабинет инвестора.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Перекупщики пулов (10–20 мест) тонут в рутине. Профессиональный интерфейс: пакетная загрузка кадастровых номеров, генерация офферов в один клик, канбан статусов («Ожидание оплаты» → «Подписание» → «В Росреестре» → «Закрыто»). Это транзакционный инструмент для оптовых C2C/C2B-сделок, не инвестиционный продукт (hard-block).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B2B2C-дистрибуция через УК и застройщиков (стратегический вектор №2).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Легитимный вход в гиперлокальное комьюнити вместо посева в закрытых чатах: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встраивание «Кнопки Домклик» в приложения (ПИК-Комфорт, Самолёт Плюс) → доступ к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вторичным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C2C-сделкам между действующими жильцами. УК получает реферальное вознаграждение и снимает с себя роль «свидетеля» при наличных.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Застройщик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онбординг новых собственников в контур платформы при сдаче объекта, чтобы их будущая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перепродажа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(вторичка) осталась у Домклик. Продукт не участвует в первичной продаже застройщика — фокус остаётся на вторичном рынке.</w:t>
      </w:r>
    </w:p>
    <w:bookmarkStart w:colFirst="0" w:colLast="0" w:name="bookmark=id.bd2efi4t2tik" w:id="37"/>
    <w:bookmarkEnd w:id="37"/>
    <w:p w:rsidR="00000000" w:rsidDel="00000000" w:rsidP="00000000" w:rsidRDefault="00000000" w:rsidRPr="00000000" w14:paraId="00000268">
      <w:pPr>
        <w:pStyle w:val="Heading2"/>
        <w:rPr/>
      </w:pPr>
      <w:r w:rsidDel="00000000" w:rsidR="00000000" w:rsidRPr="00000000">
        <w:rPr>
          <w:rtl w:val="0"/>
        </w:rPr>
        <w:t xml:space="preserve">5.3. Техническая архитектура (high-level)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Платформа строится на событийно-ориентированной микросервисной архитектуре (Event-Driven, брокер Kafka) для масштабируемости, отказоустойчивости и соответствия ИБ-стандартам Сбера. Детальная схема последовательности и спецификации — в Приложении; ниже — ключевые контуры.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5.2. Ключевые компоненты архитектуры</w:t>
      </w:r>
      <w:r w:rsidDel="00000000" w:rsidR="00000000" w:rsidRPr="00000000">
        <w:rPr>
          <w:rtl w:val="0"/>
        </w:rPr>
      </w:r>
    </w:p>
    <w:tbl>
      <w:tblPr>
        <w:tblStyle w:val="Table19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Контур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Технологическое решение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(BFF)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Mobile-first SPA, устойчивость к плохой сети в паркинге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React/TS; Graceful Degradation (ретрай критичных запросов из LocalStorage)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Gateway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Единая точка входа, защита P2P-ссылок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Балансировка, Rate Limiting (анти-DDoS/брутфорс), REST/gRPC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 Service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Авторизация и доступ</w:t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OAuth 2.0 (Сбер ID), JWT, RBAC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 Generator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Сессии сделок</w:t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 v4, TTL (Time-to-Live)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EGRN Integration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+ классификация объекта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Асинхронный воркер, СМЭВ/Росреестр, Circuit Breaker (таймауты до 30 сек)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Service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Генерация смарт-ДКП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 по шаблонам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Escrow (СБР)</w:t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Платёжный контур</w:t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АБС Сбера, номинальный счёт 40911, блокировка/разморозка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Госключ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Подписание</w:t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ГОСТ-канал: отправка hash (SHA-256) → возврат открепленной подписи (.sig) по webhook</w:t>
            </w:r>
          </w:p>
        </w:tc>
      </w:tr>
    </w:tbl>
    <w:bookmarkStart w:colFirst="0" w:colLast="0" w:name="bookmark=id.r5npcp3b380s" w:id="38"/>
    <w:bookmarkEnd w:id="38"/>
    <w:p w:rsidR="00000000" w:rsidDel="00000000" w:rsidP="00000000" w:rsidRDefault="00000000" w:rsidRPr="00000000" w14:paraId="00000286">
      <w:pPr>
        <w:pStyle w:val="Heading2"/>
        <w:rPr/>
      </w:pPr>
      <w:r w:rsidDel="00000000" w:rsidR="00000000" w:rsidRPr="00000000">
        <w:rPr>
          <w:rtl w:val="0"/>
        </w:rPr>
        <w:t xml:space="preserve">5.4. ИБ, SLA и обработка сбоев (Compliance, depth)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ИБ: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трафик — TLS 1.2/1.3 (ГОСТ где требуется), данные at rest — симметричное шифрование, маскирование критичных полей, антифрод (заморозка сессии при сканировании ссылки с 10 IP/мин → liveness-проверка).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Uptime 99,9% (≤43 мин/мес, Active-Active ЦОД); P2P-ссылка &lt;1,5 сек; ЕГРН Fast Track &lt;5 сек; ДКП &lt;2 сек; платёжный шлюз 99,99% (резервный эквайринг при недоступности основного).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Graceful Degradation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(изящная деградация при отказе внешних интеграций):</w:t>
      </w:r>
    </w:p>
    <w:tbl>
      <w:tblPr>
        <w:tblStyle w:val="Table20"/>
        <w:tblW w:w="7920.0" w:type="dxa"/>
        <w:jc w:val="left"/>
        <w:tblInd w:w="-108.0" w:type="dxa"/>
        <w:tblLayout w:type="fixed"/>
        <w:tblLook w:val="00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Сбой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Упал Госключ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Сделка сохраняется, деньги защищены; пуш при восстановлении шлюза для подписания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Недоступен ЕГРН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Блокируется создание новых сделок (нельзя проверить чистоту); подписанные — в очередь (RabbitMQ), авто-отправка после восстановления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Закрыт браузер на 3DS-оплате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Job-worker проверяет статус через 5 мин; при «не оплачено» — Web-Push/SMS с deeplink на экран оплаты без потери прогресса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o8xib557go1" w:id="39"/>
    <w:bookmarkEnd w:id="39"/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tl w:val="0"/>
        </w:rPr>
        <w:t xml:space="preserve">Глава 6. Экономика проекта и финансовая модель</w:t>
      </w:r>
    </w:p>
    <w:bookmarkStart w:colFirst="0" w:colLast="0" w:name="bookmark=id.lknyr3wztb2p" w:id="40"/>
    <w:bookmarkEnd w:id="40"/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tl w:val="0"/>
        </w:rPr>
        <w:t xml:space="preserve">6.1. Логика ценообразования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Основа экономики — категорический отказ от процентной агентской комиссии в пользу прозрачного фиксированного сервисного сбора (hard-block). В классическом риелторстве комиссия 2–5% от объекта; при чеке ММ 0,4–3 млн ₽ это 8–150 тыс. ₽ — клиенты воспринимают как непропорциональную плату «за оформление парковки», что и удерживает 85% рынка в «серой» зоне. Модель «сделка под ключ за фикс» психологически сопоставима со стоимостью разового юр. сопровождения.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цены (прозрачная, две строки):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Сервисный сбор Домклик: 5 900 ₽ (фикс)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СБР + электронная регистрация + проверка ЕГРН.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Госпошлина Росреестра: pass-through (~2 000–4 000 ₽)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государственный сбор, уплачиваемый при регистрации права в любом канале (в т.ч. через МФЦ). Не является выручкой или маржой Домклик; проводится транзитом.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Вынесение пошлины отдельной строкой конкурентно нейтрально (пошлину платят в любом сценарии) и обеспечивает честную маржинальность сервиса.</w:t>
      </w:r>
    </w:p>
    <w:bookmarkStart w:colFirst="0" w:colLast="0" w:name="bookmark=id.w9o48c105rua" w:id="41"/>
    <w:bookmarkEnd w:id="41"/>
    <w:p w:rsidR="00000000" w:rsidDel="00000000" w:rsidP="00000000" w:rsidRDefault="00000000" w:rsidRPr="00000000" w14:paraId="00000298">
      <w:pPr>
        <w:pStyle w:val="Heading2"/>
        <w:rPr/>
      </w:pPr>
      <w:r w:rsidDel="00000000" w:rsidR="00000000" w:rsidRPr="00000000">
        <w:rPr>
          <w:rtl w:val="0"/>
        </w:rPr>
        <w:t xml:space="preserve">6.2. Unit-экономика (на одну успешную сделку)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6.1. Структура ARPU и COGS (модель pass-through)</w:t>
      </w:r>
      <w:r w:rsidDel="00000000" w:rsidR="00000000" w:rsidRPr="00000000">
        <w:rPr>
          <w:rtl w:val="0"/>
        </w:rPr>
      </w:r>
    </w:p>
    <w:tbl>
      <w:tblPr>
        <w:tblStyle w:val="Table21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Статья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Сумма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Сервисный сбор (ARPU)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5 900 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Фикс, оплачивается покупателем или в сплите 50/50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СБР (номинальный счёт)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2 900 ₽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Безопасные расчёты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Электронная регистрация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2 500 ₽</w:t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Пакет в Росреестр + выпуск УКЭП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Проверка ЕГРН (Fast Track)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 ₽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Экспресс-аудит + классификатор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COGS (себестоимость сервиса)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~850 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 госпошлины (она pass-through)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Эквайринг / процессинг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 ₽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Банковский процессинг, заморозка средств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API Росреестра / SMS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₽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Запросы в базы, СМС-шлюз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Амортизация ПО / серверы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 ₽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Инфраструктура на 1 сделку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Contribution Margin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5 050 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Маржинальность сервиса ~85,6%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Госпошлина Росреестра (pass-through)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~2 000–4 000 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Транзит, вне маржи Домклик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Метрики привлечения (блендированный CAC):</w:t>
      </w:r>
      <w:r w:rsidDel="00000000" w:rsidR="00000000" w:rsidRPr="00000000">
        <w:rPr>
          <w:rtl w:val="0"/>
        </w:rPr>
      </w:r>
    </w:p>
    <w:tbl>
      <w:tblPr>
        <w:tblStyle w:val="Table22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Канал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CAC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Логика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Виральная петля «продавец→покупатель»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≈ 0 ₽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Покупатель приходит по ссылке продавца в тот же чат (K-factor ~1,2)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B2B2C через УК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реферальная выплата УК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Доступ к базе собственников без прямого маркетинга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Экосистемные триггеры Сбера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средний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Баннеры в Сбербанк Онлайн / Домклик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Средневзвешенный CAC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~1 400 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Консервативная оценка по портфелю каналов</w:t>
            </w:r>
          </w:p>
        </w:tc>
      </w:tr>
    </w:tbl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Соотношение Contribution Margin / CAC = 5 050 / 1 400 ≈ 3,6x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(payback с первой же сделки, выше «золотого стандарта» 3:1).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по unit-экономике.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Экономика сходится за счёт высокой маржинальности фиксированного сервиса и низкого CAC (виральность + B2B2C). Чувствительность: если госпошлина по реформе-2025 достигает 4 000 ₽ и закладывается «всё включено» в 5 900 ₽ — маржа падает до ~17%, и тариф требует пересмотра; модель pass-through этот риск снимает.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Юнит — одна оплаченная сделка (продукт транзакционный): здесь приведено отношение маржи сделки к CAC; полноценный LTV формируется за счёт повторных сделок и реферальной ценности. Экосистемный кросс-сейл (страхование и пр.) — качественный upside и в headline-метрику не включается.</w:t>
      </w:r>
      <w:r w:rsidDel="00000000" w:rsidR="00000000" w:rsidRPr="00000000">
        <w:rPr>
          <w:rtl w:val="0"/>
        </w:rPr>
      </w:r>
    </w:p>
    <w:bookmarkStart w:colFirst="0" w:colLast="0" w:name="bookmark=id.4ws26u9cqx9d" w:id="42"/>
    <w:bookmarkEnd w:id="42"/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tl w:val="0"/>
        </w:rPr>
        <w:t xml:space="preserve">6.3. Инвестиционный план (CapEx / OpEx) и точка безубыточности (BEP)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Переиспользование готовых банковских модулей Сбера минимизирует CapEx.</w:t>
      </w:r>
    </w:p>
    <w:tbl>
      <w:tblPr>
        <w:tblStyle w:val="Table23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Статья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Сумма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Детализация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CapEx (разработка MVP, 4 мес.)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~8,5 млн ₽</w:t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ФОТ (PM, 2 Backend, Frontend, QA, Дизайнер) ~7,2 млн + инфраструктура/криптосертификаты ~1,3 млн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OpEx (1-й год)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~10 млн ₽</w:t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Маркетинг (seed, B2B2C-партнёрства) ~4,0 млн + инфраструктура ~2,5 млн + ФОТ поддержки (2 линии) ~3,5 млн</w:t>
            </w:r>
          </w:p>
        </w:tc>
      </w:tr>
    </w:tbl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Contribution Margin 5 050 ₽/сделка для покрытия CapEx (8,5 млн) и OpEx первого полугодия (5 млн) необходимо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~2 670 успешных сделок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 учётом ёмкости московского рынка отметка достигается на 4–5-й месяц активных продаж.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(Прежняя оценка ~2 870 сделок опиралась на заниженную себестоимость; здесь — на корректную маржу.)</w:t>
      </w:r>
      <w:r w:rsidDel="00000000" w:rsidR="00000000" w:rsidRPr="00000000">
        <w:rPr>
          <w:rtl w:val="0"/>
        </w:rPr>
      </w:r>
    </w:p>
    <w:bookmarkStart w:colFirst="0" w:colLast="0" w:name="bookmark=id.vct4a5o1re7i" w:id="43"/>
    <w:bookmarkEnd w:id="43"/>
    <w:p w:rsidR="00000000" w:rsidDel="00000000" w:rsidP="00000000" w:rsidRDefault="00000000" w:rsidRPr="00000000" w14:paraId="000002D9">
      <w:pPr>
        <w:pStyle w:val="Heading2"/>
        <w:rPr/>
      </w:pPr>
      <w:r w:rsidDel="00000000" w:rsidR="00000000" w:rsidRPr="00000000">
        <w:rPr>
          <w:rtl w:val="0"/>
        </w:rPr>
        <w:t xml:space="preserve">6.4. Прогноз на 1 год (P&amp;L-сценарии)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6.2. Прогноз выручки и EBITDA (сервисный сбор; OpEx ~10 млн ₽/год)</w:t>
      </w:r>
      <w:r w:rsidDel="00000000" w:rsidR="00000000" w:rsidRPr="00000000">
        <w:rPr>
          <w:rtl w:val="0"/>
        </w:rPr>
      </w:r>
    </w:p>
    <w:tbl>
      <w:tblPr>
        <w:tblStyle w:val="Table24"/>
        <w:tblW w:w="7920.0" w:type="dxa"/>
        <w:jc w:val="left"/>
        <w:tblInd w:w="-108.0" w:type="dxa"/>
        <w:tblLayout w:type="fixed"/>
        <w:tblLook w:val="000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Сценарий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Сделок/год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Выручка, млн ₽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EBITDA, млн ₽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реализации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Пессимистичный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5 000</w:t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29,5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~15</w:t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Только органика; низкая виральность ссылок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Базовый (Target)</w:t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15 000</w:t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88,5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~66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Принятие P2P-формата + партнёрство с топ-5 УК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Оптимистичный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35 000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206,5</w:t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~167</w:t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Лидерство в C2C Москвы и СПб + запуск B2B-портала</w:t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(EBITDA пересчитана на корректную маржу; прежние значения 11/50/140 млн были основаны на ошибочной себестоимости.)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по экономике.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После прохождения BEP продукт генерирует устойчивый фиксированный комиссионный доход при высокой марже сервиса и низком CAC, одновременно решая стратегическую задачу — недорогое привлечение платёжеспособной аудитории в экосистему. Масштаб ограничен сверху юридической продаваемостью объектов (доля vs самостоятельный объект) и ценочувствительностью клиента — оба ограничения учтены в продукте (ЕГРН-классификатор, фикс-тариф).</w:t>
      </w:r>
    </w:p>
    <w:bookmarkStart w:colFirst="0" w:colLast="0" w:name="bookmark=id.xbnt1i1c21b3" w:id="44"/>
    <w:bookmarkEnd w:id="44"/>
    <w:p w:rsidR="00000000" w:rsidDel="00000000" w:rsidP="00000000" w:rsidRDefault="00000000" w:rsidRPr="00000000" w14:paraId="000002F1">
      <w:pPr>
        <w:pStyle w:val="Heading2"/>
        <w:rPr/>
      </w:pPr>
      <w:r w:rsidDel="00000000" w:rsidR="00000000" w:rsidRPr="00000000">
        <w:rPr>
          <w:rtl w:val="0"/>
        </w:rPr>
        <w:t xml:space="preserve">6.5. Дорожная карта на 1-й год</w:t>
      </w:r>
    </w:p>
    <w:tbl>
      <w:tblPr>
        <w:tblStyle w:val="Table25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Фаза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Период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Ключевые задачи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Цель фазы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1: фундамент</w:t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 2026</w:t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Шлюз API Росреестра (Fast Track) + классификатор; СБР-Лайт; адаптивный лендинг + Сбер ID; согласование смарт-ДКП и Госключа; альфа-тест (50 симуляций)</w:t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Готовая технологическая база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2: пилот</w:t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 2026</w:t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Релиз P2P-ссылки; пилот в 5 ЖК Москвы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через УК-партнёров (виджет/QR), а не посев в чатах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ежедневный трекинг Time-to-close; виральная петля «продавец→покупатель»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закрытых сделок; подтверждение unit-экономики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3: экосистема + B2B2C-масштаб</w:t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 2027</w:t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Кнопка «Оформить сделку» в Сбербанк Онлайн/Домклик; масштабирование B2B2C на УК миллионников (СПб, Екб, Казань, Краснодар); «Налоговый светофор»→«Авто-Налог»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Выход на BEP (~2 670 сделок кумулятивно)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4: экспансия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 2027</w:t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B2B-кабинет инвестора; API/SDK для крупных УК (ПИК-Комфорт, Самолёт Плюс, А101); AI-оценка</w:t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Базовый сценарий 15 000 сделок/год</w:t>
            </w:r>
          </w:p>
        </w:tc>
      </w:tr>
    </w:tbl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Принципиальное отличие от исходного плана: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B2B2C-интеграция с УК поднята в пилот (Phase 2)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как легитимный канал дистрибуции, заменяющий «партизанский посев» в закрытых чатах (стратегический вектор №2).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4jvnkfh0n0iz" w:id="45"/>
    <w:bookmarkEnd w:id="45"/>
    <w:p w:rsidR="00000000" w:rsidDel="00000000" w:rsidP="00000000" w:rsidRDefault="00000000" w:rsidRPr="00000000" w14:paraId="00000308">
      <w:pPr>
        <w:pStyle w:val="Heading1"/>
        <w:rPr/>
      </w:pPr>
      <w:r w:rsidDel="00000000" w:rsidR="00000000" w:rsidRPr="00000000">
        <w:rPr>
          <w:rtl w:val="0"/>
        </w:rPr>
        <w:t xml:space="preserve">Глава 7. Анализ рисков и матрица митигации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Инфраструктурный проект, оперирующий деньгами граждан и государственными реестрами, несёт высокий системный риск. Риски оценены по шкале вероятность (P) × влияние (I), 1–5; приоритет — по баллу P×I.</w:t>
      </w:r>
    </w:p>
    <w:bookmarkStart w:colFirst="0" w:colLast="0" w:name="bookmark=id.ifg6jj9v2ln5" w:id="46"/>
    <w:bookmarkEnd w:id="46"/>
    <w:p w:rsidR="00000000" w:rsidDel="00000000" w:rsidP="00000000" w:rsidRDefault="00000000" w:rsidRPr="00000000" w14:paraId="0000030A">
      <w:pPr>
        <w:pStyle w:val="Heading2"/>
        <w:rPr/>
      </w:pPr>
      <w:r w:rsidDel="00000000" w:rsidR="00000000" w:rsidRPr="00000000">
        <w:rPr>
          <w:rtl w:val="0"/>
        </w:rPr>
        <w:t xml:space="preserve">7.1. Сводная матрица рисков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7.1. Реестр рисков и митигаций</w:t>
      </w:r>
      <w:r w:rsidDel="00000000" w:rsidR="00000000" w:rsidRPr="00000000">
        <w:rPr>
          <w:rtl w:val="0"/>
        </w:rPr>
      </w:r>
    </w:p>
    <w:tbl>
      <w:tblPr>
        <w:tblStyle w:val="Table26"/>
        <w:tblW w:w="7920.0" w:type="dxa"/>
        <w:jc w:val="left"/>
        <w:tblInd w:w="-108.0" w:type="dxa"/>
        <w:tblLayout w:type="fixed"/>
        <w:tblLook w:val="0000"/>
      </w:tblPr>
      <w:tblGrid>
        <w:gridCol w:w="3060"/>
        <w:gridCol w:w="375"/>
        <w:gridCol w:w="525"/>
        <w:gridCol w:w="1320"/>
        <w:gridCol w:w="1680"/>
        <w:gridCol w:w="960"/>
        <w:tblGridChange w:id="0">
          <w:tblGrid>
            <w:gridCol w:w="3060"/>
            <w:gridCol w:w="375"/>
            <w:gridCol w:w="525"/>
            <w:gridCol w:w="1320"/>
            <w:gridCol w:w="1680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Риск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P×I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Митигация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Владелец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Целостность эскроу (занижение цены в ДКП)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«Налоговый светофор» (для ММ &gt;5 лет владения НДФЛ=0 → нет мотива занижать) + удержание 100% суммы на номинальном счёте</w:t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/ Legal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Инфраструктурный/регуляторный (сбои Росреестра, регламент Минэка)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Приоритетный VPN-шлюз обмена с Росреестром (статус системообразующего партнёра); асинхронный UX с честным управлением ожиданиями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 / GR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Кибербезопасность и фрод (перехват ссылки, угон Сбер ID, отмывание)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Антифрод-скоринг Сбера; сверка ФИО Сбер ID ↔ ЕГРН «до буквы» (иначе смарт-ДКП не создаётся); TTL ссылки 48 ч; liveness при аномалиях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Юридический (долевая собственность до-2017)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ЕГРН-классификатор как гейт воронки: объект → Fast Track; доля → Assisted-флоу (нотариус)</w:t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/ Legal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Экономический (рост госпошлины, реформа-2025)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Госпошлина — pass-through отдельной строкой; маржа сервиса не зависит от тарифа Росреестра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Продуктовый (каннибализация ресурсов внутри Сбера)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Автономная Squad-команда с защищённым годовым бюджетом; позиционирование как стратегической лидогенерации, а не источника прямой прибыли</w:t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CPO / Sponsor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Зависимость от Госключа (Минцифры)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Graceful degradation: сделка сохраняется, деньги защищены, подписание — после восстановления шлюза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Концентрационный (один пилотный рынок)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Поэтапная гео-экспансия после подтверждения unit-экономики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GTM</w:t>
            </w:r>
          </w:p>
        </w:tc>
      </w:tr>
    </w:tbl>
    <w:bookmarkStart w:colFirst="0" w:colLast="0" w:name="bookmark=id.yanv5yua47kc" w:id="47"/>
    <w:bookmarkEnd w:id="47"/>
    <w:p w:rsidR="00000000" w:rsidDel="00000000" w:rsidP="00000000" w:rsidRDefault="00000000" w:rsidRPr="00000000" w14:paraId="00000342">
      <w:pPr>
        <w:pStyle w:val="Heading2"/>
        <w:rPr/>
      </w:pPr>
      <w:r w:rsidDel="00000000" w:rsidR="00000000" w:rsidRPr="00000000">
        <w:rPr>
          <w:rtl w:val="0"/>
        </w:rPr>
        <w:t xml:space="preserve">7.2. Детализация критических рисков (Score ≥ 15)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Целостность эскроу — занижение цены (Score 20).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Часть продавцов в регионах занижает стоимость в ДКП, чтобы уйти от НДФЛ 13% при владении ММ менее предельного срока (5 лет). При заниженной «белой» сумме эскроу удержит только её — остаток снова идёт «в конверте», обнуляя UVP. Митигация многослойна: (1) «Налоговый светофор» автоматически показывает, что при владении &gt;5 лет налог = 0 → мотив занижать исчезает; (2) для случаев с налогом — фича «Авто-Налог» снимает страх 3-НДФЛ; (3) маркетинговый фокус на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покупателя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который несёт все риски (отдал деньги — не получил права) и потому ультимативно настаивает на безопасной сделке через Домклик.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Инфраструктурный/регуляторный (Score 15).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Нестабильность серверов Росреестра или изменение регламента может «подвесить» сделку &gt;5 дней и разрушить UVP «24 часа». Митигация: приоритетный шлюз обмена (статус системообразующего партнёра) + асинхронный UX — клиент получает пуш «Росреестр обрабатывает запрос; ваши деньги в безопасности на счёте Сбербанка до регистрации», что сохраняет доверие даже при задержке госоргана.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Юридический и экономический (Score 16 каждый).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Долевая собственность закрывается ЕГРН-классификатором на входе в воронку; риск роста госпошлины снимается её выносом в pass-through (см. Главу 6) — маржа сервиса перестаёт зависеть от тарифа Росреестра.</w:t>
      </w:r>
    </w:p>
    <w:bookmarkStart w:colFirst="0" w:colLast="0" w:name="bookmark=id.wl2vs5miktn9" w:id="48"/>
    <w:bookmarkEnd w:id="48"/>
    <w:p w:rsidR="00000000" w:rsidDel="00000000" w:rsidP="00000000" w:rsidRDefault="00000000" w:rsidRPr="00000000" w14:paraId="00000346">
      <w:pPr>
        <w:pStyle w:val="Heading2"/>
        <w:rPr/>
      </w:pPr>
      <w:r w:rsidDel="00000000" w:rsidR="00000000" w:rsidRPr="00000000">
        <w:rPr>
          <w:rtl w:val="0"/>
        </w:rPr>
        <w:t xml:space="preserve">7.3. Продуктовый риск: позиционирование перед Бордом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Сделки с ММ имеют низкий чек и не генерируют процентный доход, поэтому возможна попытка перебросить IT-ресурсы на маржинальные проекты. Митигация — изоляция продукта (автономный Squad, защищённый бюджет на год) и корректная аргументация: продукт презентуется как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автономный источник фиксированной транзакционной выручки и инструмент дешёвой лидогенерации новой платёжеспособной аудитории для экосистемы в целом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(без привязки к конкретным кредитным продуктам — hard-block).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5u9ivvbq6d3" w:id="49"/>
    <w:bookmarkEnd w:id="49"/>
    <w:p w:rsidR="00000000" w:rsidDel="00000000" w:rsidP="00000000" w:rsidRDefault="00000000" w:rsidRPr="00000000" w14:paraId="00000349">
      <w:pPr>
        <w:pStyle w:val="Heading1"/>
        <w:rPr/>
      </w:pPr>
      <w:r w:rsidDel="00000000" w:rsidR="00000000" w:rsidRPr="00000000">
        <w:rPr>
          <w:rtl w:val="0"/>
        </w:rPr>
        <w:t xml:space="preserve">Глава 8. Go-to-Market стратегия (GTM)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GTM подаётся как набор канальных гипотез для валидации на пилоте (полномасштабный маркетинг — этап Delivery, вне скоупа Discovery). Прямая ATL-реклама для нишевого продукта неэффективна. Основа — легитимная гиперлокальная дистрибуция и B2B2C-партнёрства; ключевая задача — рост NSM (закрытые сделки) при низком CAC.</w:t>
      </w:r>
    </w:p>
    <w:bookmarkStart w:colFirst="0" w:colLast="0" w:name="bookmark=id.tmqs2es84y5h" w:id="50"/>
    <w:bookmarkEnd w:id="50"/>
    <w:p w:rsidR="00000000" w:rsidDel="00000000" w:rsidP="00000000" w:rsidRDefault="00000000" w:rsidRPr="00000000" w14:paraId="0000034B">
      <w:pPr>
        <w:pStyle w:val="Heading2"/>
        <w:rPr/>
      </w:pPr>
      <w:r w:rsidDel="00000000" w:rsidR="00000000" w:rsidRPr="00000000">
        <w:rPr>
          <w:rtl w:val="0"/>
        </w:rPr>
        <w:t xml:space="preserve">8.1. Канал 1 (primary): B2B2C-интеграция с УК — стратегический вектор №2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Легитимный вход в гиперлокальное комьюнити вместо посева в закрытых чатах.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Механика: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нативный виджет «Купить/продать паркинг в вашем доме без риелторов и МФЦ» в приложениях УК (ПИК-Комфорт, ЛСР, Самолёт Плюс), куда жители заходят оплачивать ЖКХ. УК рассылает пуш-уведомления жильцам.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Мотивация УК: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фиксированная премия ~1 000 ₽ за успешную сделку через виджет (реферальная выплата, не % — в рамках hard-block) + снятие с УК неформальной роли «свидетеля» при наличных расчётах жильцов.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Разделение ролей B2B2C: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УК = доступ к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вторичным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C2C-сделкам между действующими жильцами; застройщик = онбординг новых собственников в контур платформы под их будущую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перепродажу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(вторичка), без участия в первичной продаже застройщика.</w:t>
      </w:r>
    </w:p>
    <w:bookmarkStart w:colFirst="0" w:colLast="0" w:name="bookmark=id.rfoyyjph7q74" w:id="51"/>
    <w:bookmarkEnd w:id="51"/>
    <w:p w:rsidR="00000000" w:rsidDel="00000000" w:rsidP="00000000" w:rsidRDefault="00000000" w:rsidRPr="00000000" w14:paraId="00000350">
      <w:pPr>
        <w:pStyle w:val="Heading2"/>
        <w:rPr/>
      </w:pPr>
      <w:r w:rsidDel="00000000" w:rsidR="00000000" w:rsidRPr="00000000">
        <w:rPr>
          <w:rtl w:val="0"/>
        </w:rPr>
        <w:t xml:space="preserve">8.2. Канал 2: виральная петля «продавец → покупатель» (органический K-factor)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астротурфинг, а естественное следствие полезности продукта: реальный продавец в реальной сделке сам отправляет P2P-ссылку своему покупателю в тот же чат, где они договорились, потому что это выгодно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ему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(24 ч, безопасно, без МФЦ).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Механика: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генерация сделки-ссылки в один клик → шеринг покупателю; сплит комиссии 50/50 повышает готовность продавца рекомендовать сервис.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Экономика: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CAC второй стороны (покупателя) ≈ 0; K-factor ~1,2 (1 сделка → ~1 приглашение). Распространение прозрачно и не маскируется под частный совет (соответствие ст. 5 ФЗ-38 «О рекламе»).</w:t>
      </w:r>
    </w:p>
    <w:bookmarkStart w:colFirst="0" w:colLast="0" w:name="bookmark=id.x5vjqiaiqpnk" w:id="52"/>
    <w:bookmarkEnd w:id="52"/>
    <w:p w:rsidR="00000000" w:rsidDel="00000000" w:rsidP="00000000" w:rsidRDefault="00000000" w:rsidRPr="00000000" w14:paraId="00000354">
      <w:pPr>
        <w:pStyle w:val="Heading2"/>
        <w:rPr/>
      </w:pPr>
      <w:r w:rsidDel="00000000" w:rsidR="00000000" w:rsidRPr="00000000">
        <w:rPr>
          <w:rtl w:val="0"/>
        </w:rPr>
        <w:t xml:space="preserve">8.3. Канал 3: триггерные пуши в экосистеме Сбера (с ПДн-комплаенсом)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Механика: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основе Big Data Сбера выявляются релевантные триггеры (покупка дорогого авто/КАСКО, регулярная оплата резидентного парковочного разрешения) → персонализированный пуш в Сбербанк Онлайн: «Вашему автомобилю нужно безопасное место — купите машино-место онлайн, без комиссии риелтору».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Комплаенс: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обработка данных только при наличии согласия клиента на маркетинговые коммуникации (152-ФЗ), без передачи данных вовне. Канал высокорелевантен, но запускается строго в рамках ПДн-политики.</w:t>
      </w:r>
    </w:p>
    <w:bookmarkStart w:colFirst="0" w:colLast="0" w:name="bookmark=id.fz8j0ktl3h1o" w:id="53"/>
    <w:bookmarkEnd w:id="53"/>
    <w:p w:rsidR="00000000" w:rsidDel="00000000" w:rsidP="00000000" w:rsidRDefault="00000000" w:rsidRPr="00000000" w14:paraId="00000357">
      <w:pPr>
        <w:pStyle w:val="Heading2"/>
        <w:rPr/>
      </w:pPr>
      <w:r w:rsidDel="00000000" w:rsidR="00000000" w:rsidRPr="00000000">
        <w:rPr>
          <w:rtl w:val="0"/>
        </w:rPr>
        <w:t xml:space="preserve">8.4. Канал 4: B2B-инвесторы как acquisition-мультипликатор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Механика: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точечный выход на рантье/перекупщиков, выкупающих пулы по 10–20 мест у девелопера; бесплатная презентация B2B-кабинета (пакетная выгрузка, канбан статусов), экономящего десятки часов.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Эффект: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привлекая одного инвестора, Домклик получает 10–20 розничных контрагентов (инвестор сам инициирует оформление их сделок через P2P-ссылку). Рамка — оптовый транзакционный инструмент, не инвестиционный продукт (hard-block).</w:t>
      </w:r>
    </w:p>
    <w:bookmarkStart w:colFirst="0" w:colLast="0" w:name="bookmark=id.hxkoifrxtrxa" w:id="54"/>
    <w:bookmarkEnd w:id="54"/>
    <w:p w:rsidR="00000000" w:rsidDel="00000000" w:rsidP="00000000" w:rsidRDefault="00000000" w:rsidRPr="00000000" w14:paraId="0000035A">
      <w:pPr>
        <w:pStyle w:val="Heading2"/>
        <w:rPr/>
      </w:pPr>
      <w:r w:rsidDel="00000000" w:rsidR="00000000" w:rsidRPr="00000000">
        <w:rPr>
          <w:rtl w:val="0"/>
        </w:rPr>
        <w:t xml:space="preserve">8.5. Экономика каналов и вклад в цель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8.1. Экономика каналов (согласовано с unit-экономикой Главы 6: блендированный CAC ~1 400 ₽)</w:t>
      </w:r>
      <w:r w:rsidDel="00000000" w:rsidR="00000000" w:rsidRPr="00000000">
        <w:rPr>
          <w:rtl w:val="0"/>
        </w:rPr>
      </w:r>
    </w:p>
    <w:tbl>
      <w:tblPr>
        <w:tblStyle w:val="Table27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Канал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Механика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CAC / стоимость лида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и вклад в NSM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УК (B2B2C)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Виджет + пуши УК</w:t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~1 000 ₽ премия УК + привлечение</w:t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Primary: системный поток вторичных сделок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Виральная петля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Шеринг ссылки продавцом</w:t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≈ 0 ₽ (вторая сторона)</w:t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Мультипликатор: снижает блендированный CAC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Экосистемные триггеры</w:t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Пуши по Big Data (152-ФЗ)</w:t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Средний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Точечный высокорелевантный охват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B2B-инвесторы</w:t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B2B-кабинет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Низкий на 1 розничную сделку</w:t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Мультипликатор: 1 инвестор → 10–20 сделок</w:t>
            </w:r>
          </w:p>
        </w:tc>
      </w:tr>
    </w:tbl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Комбинация каналов обеспечивает блендированный CAC ~1 400 ₽ (при Contribution Margin сервиса ~5 050 ₽ → CM/CAC ~3,6x, см. Главу 6) и ladder к целевому объёму 15 000 сделок/год (базовый сценарий). GTM напрямую решает стратегические векторы №2 (валидация B2B2C) и №3 (легализация: вывод сделок из «серых» чатов в прозрачный контур).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g2owm6pk6xgn" w:id="55"/>
    <w:bookmarkEnd w:id="55"/>
    <w:p w:rsidR="00000000" w:rsidDel="00000000" w:rsidP="00000000" w:rsidRDefault="00000000" w:rsidRPr="00000000" w14:paraId="00000372">
      <w:pPr>
        <w:pStyle w:val="Heading1"/>
        <w:rPr/>
      </w:pPr>
      <w:r w:rsidDel="00000000" w:rsidR="00000000" w:rsidRPr="00000000">
        <w:rPr>
          <w:rtl w:val="0"/>
        </w:rPr>
        <w:t xml:space="preserve">Глава 9. Структура команды и операционная модель (HR &amp; Ops)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скорости Time-to-Market проект реализуется по Agile (Scrum) в формате автономного Squad с защищённым годовым бюджетом — изолированно от длинных корпоративных циклов согласования. Состав покрывает не только разработку, но и исполнение primary-канала (B2B2C/УК) и управление метриками (NSM/воронка).</w:t>
      </w:r>
    </w:p>
    <w:bookmarkStart w:colFirst="0" w:colLast="0" w:name="bookmark=id.9wqoz0msf4pv" w:id="56"/>
    <w:bookmarkEnd w:id="56"/>
    <w:p w:rsidR="00000000" w:rsidDel="00000000" w:rsidP="00000000" w:rsidRDefault="00000000" w:rsidRPr="00000000" w14:paraId="00000374">
      <w:pPr>
        <w:pStyle w:val="Heading2"/>
        <w:rPr/>
      </w:pPr>
      <w:r w:rsidDel="00000000" w:rsidR="00000000" w:rsidRPr="00000000">
        <w:rPr>
          <w:rtl w:val="0"/>
        </w:rPr>
        <w:t xml:space="preserve">9.1. Состав Squad-команды MVP (Core Team)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9.1. Роли, ответственность и привязка к бюджету</w:t>
      </w:r>
      <w:r w:rsidDel="00000000" w:rsidR="00000000" w:rsidRPr="00000000">
        <w:rPr>
          <w:rtl w:val="0"/>
        </w:rPr>
      </w:r>
    </w:p>
    <w:tbl>
      <w:tblPr>
        <w:tblStyle w:val="Table28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FTE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Зона ответственности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Строка бюджета (Гл.6)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Manager</w:t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P&amp;L проекта, CustDev, бэклог, стейкхолдеры, владение MVP-скоупом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CapEx ФОТ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Developer</w:t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API Росреестра (Fast Track + классификатор), крипто-защита P2P-ссылок, движок СБР-Лайт</w:t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CapEx ФОТ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Developer</w:t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Легковесный mobile-first Web-App (микро-лендинг), Graceful Degradation</w:t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CapEx ФОТ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UX/UI Designer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Интуитивный интерфейс, минимизация когнитивной нагрузки, юзабилити-итерации</w:t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CapEx ФОТ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 Automation</w:t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Автотесты критических узлов (оплата, эскроу, подписание)</w:t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CapEx ФОТ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Legal Partner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Легитимность смарт-ДКП, ФЗ-115, сопровождение Assisted-флоу (долевая собственность)</w:t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CapEx ФОТ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Partnerships / BizDev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 и сопровождение B2B2C-интеграций с УК/застройщиками (primary-канал, Гл.8)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OpEx (GTM)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/ Product Analyst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Владение NSM и воронкой (конверсия ≥15%, Time-to-close, churn-анализ из Гл.4)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Антифрод/ИБ</w:t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shared</w:t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Опора на общую антифрод-функцию Сбера (скоринг, сверка ФИО↔ЕГРН, liveness) — без отдельного FTE</w:t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 согласован с ФОТ из Главы 6 (~7,2 млн ₽ CapEx на разработку + поддержка/GTM в OpEx). Две роли добавлены относительно исходного черновика осознанно: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BizDev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потому что без него некому исполнять primary-канал дистрибуции,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потому что без него NSM не управляется.</w:t>
      </w:r>
    </w:p>
    <w:bookmarkStart w:colFirst="0" w:colLast="0" w:name="bookmark=id.gq7ssdhqs3kn" w:id="57"/>
    <w:bookmarkEnd w:id="57"/>
    <w:p w:rsidR="00000000" w:rsidDel="00000000" w:rsidP="00000000" w:rsidRDefault="00000000" w:rsidRPr="00000000" w14:paraId="0000039F">
      <w:pPr>
        <w:pStyle w:val="Heading2"/>
        <w:rPr/>
      </w:pPr>
      <w:r w:rsidDel="00000000" w:rsidR="00000000" w:rsidRPr="00000000">
        <w:rPr>
          <w:rtl w:val="0"/>
        </w:rPr>
        <w:t xml:space="preserve">9.2. Операционная поддержка (Support)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Сделки с недвижимостью сопровождаются высокой тревожностью, поэтому при полной автоматизации нужна сильная поддержка: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1 (бот + аутсорс):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маршрутизация типовых вопросов («Где статус сделки?», «Как войти через Сбер ID?»).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2 (in-house эксперты, 2 чел.):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разбор инцидентов — зависание выписки ЕГРН, ошибки подписания в Госключе, проблемы с разморозкой средств. SLA реакции ≤15 мин в рабочее время.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Assisted-флоу (долевая собственность):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объекты «доля в праве», отсечённые ЕГРН-классификатором, ведут L2 + Legal part-time (нотариальный сценарий) — ветка воронки имеет явного владельца.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n4r0endmm51" w:id="58"/>
    <w:bookmarkEnd w:id="58"/>
    <w:p w:rsidR="00000000" w:rsidDel="00000000" w:rsidP="00000000" w:rsidRDefault="00000000" w:rsidRPr="00000000" w14:paraId="000003A5">
      <w:pPr>
        <w:pStyle w:val="Heading1"/>
        <w:rPr/>
      </w:pPr>
      <w:r w:rsidDel="00000000" w:rsidR="00000000" w:rsidRPr="00000000">
        <w:rPr>
          <w:rtl w:val="0"/>
        </w:rPr>
        <w:t xml:space="preserve">Глава 10. Перспективы масштабирования и лимиты модели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Успех MVP в сегменте машино-мест открывает направления переноса технологии легковесной P2P-сделки на смежные рынки. Однако гиперлокальная модель имеет чёткие границы применимости, которые определяют реалистичный потолок масштабирования (стратегический вектор №4).</w:t>
      </w:r>
    </w:p>
    <w:bookmarkStart w:colFirst="0" w:colLast="0" w:name="bookmark=id.e9rkusqs1izm" w:id="59"/>
    <w:bookmarkEnd w:id="59"/>
    <w:p w:rsidR="00000000" w:rsidDel="00000000" w:rsidP="00000000" w:rsidRDefault="00000000" w:rsidRPr="00000000" w14:paraId="000003A7">
      <w:pPr>
        <w:pStyle w:val="Heading2"/>
        <w:rPr/>
      </w:pPr>
      <w:r w:rsidDel="00000000" w:rsidR="00000000" w:rsidRPr="00000000">
        <w:rPr>
          <w:rtl w:val="0"/>
        </w:rPr>
        <w:t xml:space="preserve">10.1. Векторы роста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10.1. Векторы масштабирования и их ограничители</w:t>
      </w:r>
      <w:r w:rsidDel="00000000" w:rsidR="00000000" w:rsidRPr="00000000">
        <w:rPr>
          <w:rtl w:val="0"/>
        </w:rPr>
      </w:r>
    </w:p>
    <w:tbl>
      <w:tblPr>
        <w:tblStyle w:val="Table29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Вектор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Логика переноса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Ограничитель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CRE-микро</w:t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Кладовки/келлеры (200–500 тыс. ₽), гаражи ГСК, мелкий street-retail</w:t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Тот же стандартизированный CJM и шлюз сделки; низкий чек, C2C-практики</w:t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ГСК часто без отдельного кадастрового №; street-retail — выше чек и сложнее DD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ИЖС (земля)</w:t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«Голые» земельные участки под застройку</w:t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Высокая доля «серых» C2C-сделок без ипотеки</w:t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Сложный юр. статус (категория земель, ВРИ, межевание) → нужна глубокая проверка, экспресс-ЕГРН недостаточно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White-Label (B2B-диверсификация)</w:t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«Сделка-в-коробке» по SaaS-модели</w:t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Продажа отлаженного шлюза брокерам, региональным банкам, девелоперам под их брендом</w:t>
            </w:r>
          </w:p>
        </w:tc>
        <w:tc>
          <w:tcPr/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Монетизация — фикс/подписка SaaS, без % с транзакций и без токенов (hard-block)</w:t>
            </w:r>
          </w:p>
        </w:tc>
      </w:tr>
    </w:tbl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White-Label — это диверсификация выручки и платформенная игра, а не «exit»: для экосистемного продукта Сбера выход через продажу/IPO нерелевантен.</w:t>
      </w:r>
    </w:p>
    <w:bookmarkStart w:colFirst="0" w:colLast="0" w:name="bookmark=id.oejp8aneg2ma" w:id="60"/>
    <w:bookmarkEnd w:id="60"/>
    <w:p w:rsidR="00000000" w:rsidDel="00000000" w:rsidP="00000000" w:rsidRDefault="00000000" w:rsidRPr="00000000" w14:paraId="000003BA">
      <w:pPr>
        <w:pStyle w:val="Heading2"/>
        <w:rPr/>
      </w:pPr>
      <w:r w:rsidDel="00000000" w:rsidR="00000000" w:rsidRPr="00000000">
        <w:rPr>
          <w:rtl w:val="0"/>
        </w:rPr>
        <w:t xml:space="preserve">10.2. Лимиты масштабируемости гиперлокальной модели (вектор №4)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Модель имеет пять структурных границ, за которыми ценность падает: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Лимит «отсутствия витрины».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Продукт закрывает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уже сматченную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сделку и не делает discovery/листинг. Он масштабируется только туда, где мэтчинг происходит вне продукта (чаты ЖК, договорённости). На разрозненных рынках (частный сектор) без отдельного канала поиска модель не работает.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Лимит чека и due diligence.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ММ достаточно 5-секундной проверки ЕГРН. Для земли и коммерции (выше чек, сложнее юр. статус) покупателю нужна более глубокая проверка — это меняет продукт и ставит под вопрос единый фикс-тариф.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Лимит юридической продаваемости.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Адресуемы только объекты с отдельным кадастровым номером; долевая собственность остаётся в Assisted-флоу — это структурное горло, ограничивающее SOM.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Лимит ценочувствительности.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Фиксированный сбор оптимален на низком чеке; при росте стоимости объекта клиент ожидает расширенного сопровождения, и «коробочная» модель упирается в потолок воспринимаемой ценности.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Гео-лимит.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Сила модели — плотная застройка миллионников с активными комьюнити; в малых городах и частном секторе ниже и плотность мэтчинга, и доверие к бренду.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 гиперлокальная модель — это не безграничный, а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сегментно-ограниченный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актив. Её реалистичный потолок — микро-объекты вторичного рынка с отдельным кадастровым номером в плотной городской застройке; за этими границами требуется не масштабирование «коробки», а отдельный продукт с другой экономикой и механикой доверия. Тариф при любой экспансии остаётся фиксированным (при необходимости — многоуровневым по типу объекта), без перехода к процентной модели (hard-block).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g000humtc2e" w:id="61"/>
    <w:bookmarkEnd w:id="61"/>
    <w:p w:rsidR="00000000" w:rsidDel="00000000" w:rsidP="00000000" w:rsidRDefault="00000000" w:rsidRPr="00000000" w14:paraId="000003C3">
      <w:pPr>
        <w:pStyle w:val="Heading1"/>
        <w:rPr/>
      </w:pPr>
      <w:r w:rsidDel="00000000" w:rsidR="00000000" w:rsidRPr="00000000">
        <w:rPr>
          <w:rtl w:val="0"/>
        </w:rPr>
        <w:t xml:space="preserve">Глава 11. Стратегический вывод: зачем это Домклик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Корпоративный фреймворк защиты продукта требует за 1 год достичь одной из трёх целей: 300 млн ₽ чистой прибыли, +500 000 MAU либо 100 000 уникальных клиентов с качественно новым опытом.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Стратегический выбор на 1-й год: 100 000 уникальных клиентов с качественно новым опытом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(это и есть прокси выбранной North Star Metric — количество успешно закрытых зарегистрированных C2C-сделок).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73933636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Обоснование (почему именно эта метрика реалистична и приоритетна):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tbl>
      <w:tblPr>
        <w:tblStyle w:val="Table30"/>
        <w:tblW w:w="7920.0" w:type="dxa"/>
        <w:jc w:val="left"/>
        <w:tblInd w:w="-108.0" w:type="dxa"/>
        <w:tblLayout w:type="fixed"/>
        <w:tblLook w:val="00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Альтернатива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Почему отклонена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 млн ₽ чистой прибыли</w:t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Ниша малочековая и гиперлокальная. Без кредитов/ипотеки, только на фиксированной транзакционной комиссии, такая прибыль в год 1 недостижима без завышения тарифа до 15–20 тыс. ₽, что убивает конверсию. Это долгосрочный финансовый Guardrail, а не цель года 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+500 000 MAU</w:t>
            </w:r>
          </w:p>
        </w:tc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Покупка ММ эпизодична (раз в годы); ежемесячной аудитории такого объёма на рынке нет. MAU как цель сместил бы продукт к витрине — против стратегии.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100 000 уникальных клиентов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Принято.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При базово-оптимистичном сценарии (15–35 тыс. сделок × стороны + члены семей + пуловые инвесторы) продукт напрямую касается ~60 000–100 000 человек, «вытаскивая» их из «гаражных» переводов и очередей МФЦ в безопасную цифровую сделку.</w:t>
            </w:r>
          </w:p>
        </w:tc>
      </w:tr>
    </w:tbl>
    <w:p w:rsidR="00000000" w:rsidDel="00000000" w:rsidP="00000000" w:rsidRDefault="00000000" w:rsidRPr="00000000" w14:paraId="000003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ucsffwrk5l7e" w:id="62"/>
    <w:bookmarkEnd w:id="62"/>
    <w:p w:rsidR="00000000" w:rsidDel="00000000" w:rsidP="00000000" w:rsidRDefault="00000000" w:rsidRPr="00000000" w14:paraId="000003D0">
      <w:pPr>
        <w:pStyle w:val="Heading1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Проведённое Product Discovery-исследование подтверждает состоятельность концепции инфраструктурного сервиса «P2P-ссылка Домклик» по трём уровням и позволяет зафиксировать статус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(Persevere)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Значимость проблемы доказана.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Рынок машино-мест обладает значительным формализованным капиталом (&gt;1 млн объектов на кадастровом учёте, рост цен в миллионниках на 60–90% за 2024–2026 годы), при этом более 80% C2C-сделок проходят в «серой» зоне с высокими рисками. Профессиональные посредники нишу игнорируют, а классифайды закрывают лишь этап поиска — этап безопасной транзакции остаётся незанятым. Это подтверждает наличие острой и оплачиваемой боли.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Ценность решения валидирована.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Качественные интервью и опрос (N=150) показали, что 92% респондентов считают оформление слишком трудоёмким, 82% боятся мошенничества при расчётах, 89% готовы к онлайн-сделке при юридической чистоте. Приоритизация по RICE определила ядро MVP (безопасные расчёты + проверка ЕГРН с классификатором объекта + цифровая сделка), а прогнозная воронка демонстрирует рост конверсии «клик → регистрация» с 12% до 28% после устранения узких мест.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Экономика сходится.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вынесении госпошлины в pass-through Contribution Margin сервиса составляет ~5 050 ₽ (маржинальность ~85,6%), отношение маржи к блендированному CAC — около 3,6x (выше «золотого стандарта» 3:1), а точка безубыточности достигается на ~2 670 сделках (4–5-й месяц активных продаж). Монетизация полностью укладывается в hard-block: только фиксированный сбор, без процентной комиссии, кредитов и токенов.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стратегическим векторам: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Коммерциализация C2C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путь пользователя оцифрован и декомпозирован (AS-IS → TO-BE), этапы стандартизированы и упакованы в единый цифровой контур сделки за 24 часа.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Валидация B2B2C-канала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интеграция с УК (вторичный резеллинг между жильцами) и застройщиками (онбординг новых собственников под будущую перепродажу) определена как primary-канал дистрибуции, заменяющий нелегитимный посев в закрытых чатах.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Легализация сегмента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связка «номинальный счёт + автоматическое назначение платежа + Налоговый светофор» снимает первопричины «серых» практик (страх блокировки и мотив занижения цены), выводя сделки в правовое поле.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Лимиты масштабирования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определены пять структурных границ гиперлокальной модели (отсутствие витрины, чек/due diligence, юридическая продаваемость, ценочувствительность, география); модель признана сегментно-ограниченным, а не безграничным активом.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Стратегический эффект для «Домклик».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Продукт формирует новый поток фиксированной транзакционной выручки в неипотечном сегменте и привязывает к экосистеме платёжеспособную аудиторию владельцев недвижимости класса «Комфорт/Бизнес», одновременно выполняя социально значимую функцию легализации рынка. MVP «P2P-ссылка» представляет собой недорогую и масштабируемую в установленных границах инвестицию в будущую экосистемную ценность.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Таким образом, поставленная цель достигнута: концепция MVP разработана и обоснована на пользовательском, продуктовом и экономическом уровнях, ключевые гипотезы проверены, ограничения и риски идентифицированы и снабжены планами митигации.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ikgilloc3051" w:id="63"/>
    <w:bookmarkEnd w:id="63"/>
    <w:p w:rsidR="00000000" w:rsidDel="00000000" w:rsidP="00000000" w:rsidRDefault="00000000" w:rsidRPr="00000000" w14:paraId="000003DE">
      <w:pPr>
        <w:pStyle w:val="Heading1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</w:r>
    </w:p>
    <w:bookmarkStart w:colFirst="0" w:colLast="0" w:name="bookmark=id.eydxooh4y3j6" w:id="64"/>
    <w:bookmarkEnd w:id="64"/>
    <w:p w:rsidR="00000000" w:rsidDel="00000000" w:rsidP="00000000" w:rsidRDefault="00000000" w:rsidRPr="00000000" w14:paraId="000003DF">
      <w:pPr>
        <w:pStyle w:val="Heading2"/>
        <w:rPr/>
      </w:pPr>
      <w:r w:rsidDel="00000000" w:rsidR="00000000" w:rsidRPr="00000000">
        <w:rPr>
          <w:rtl w:val="0"/>
        </w:rPr>
        <w:t xml:space="preserve">Нормативно-правовые акты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Гражданский кодекс Российской Федерации (ст. 130 — машино-место как объект недвижимости; ст. 860.7 — договор счёта эскроу).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03.07.2016 № 315-ФЗ «О внесении изменений в часть первую Гражданского кодекса РФ…» (закрепление статуса машино-места, вступил в силу 01.01.2017).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13.07.2015 № 218-ФЗ «О государственной регистрации недвижимости».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07.08.2001 № 115-ФЗ «О противодействии легализации (отмыванию) доходов, полученных преступным путём, и финансированию терроризма».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13.03.2006 № 38-ФЗ «О рекламе» (ст. 5 — добросовестность и распознаваемость рекламы).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27.07.2006 № 152-ФЗ «О персональных данных».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Налоговый кодекс Российской Федерации (ст. 217.1 — минимальный предельный срок владения; ст. 333.33 — размеры государственной пошлины за регистрацию прав).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Семейный кодекс Российской Федерации (ст. 35 — распоряжение общим имуществом супругов, нотариальное согласие).</w:t>
      </w:r>
    </w:p>
    <w:bookmarkStart w:colFirst="0" w:colLast="0" w:name="bookmark=id.jy6kicco7dzb" w:id="65"/>
    <w:bookmarkEnd w:id="65"/>
    <w:p w:rsidR="00000000" w:rsidDel="00000000" w:rsidP="00000000" w:rsidRDefault="00000000" w:rsidRPr="00000000" w14:paraId="000003E8">
      <w:pPr>
        <w:pStyle w:val="Heading2"/>
        <w:rPr/>
      </w:pPr>
      <w:r w:rsidDel="00000000" w:rsidR="00000000" w:rsidRPr="00000000">
        <w:rPr>
          <w:rtl w:val="0"/>
        </w:rPr>
        <w:t xml:space="preserve">Статистические и аналитические источники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Федеральная служба государственной регистрации, кадастра и картографии (Росреестр). Официальный сайт и статистика кадастрового учёта. — URL: https://rosreestr.gov.ru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Аналитический центр ЦИАН. Обзоры рынка и динамики цен на машино-места. — URL: https://www.cian.ru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Аналитический центр компании «Домклик». Статистика рынка недвижимости. — URL: https://blog.domclick.ru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«Авито Недвижимость». Аналитика спроса на машино-места. — URL: https://www.avito.ru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Газета «Коммерсантъ». — URL: https://www.kommersant.ru ; РБК Недвижимость. — URL: https://realty.rbc.ru</w:t>
      </w:r>
    </w:p>
    <w:bookmarkStart w:colFirst="0" w:colLast="0" w:name="bookmark=id.da21togir1r4" w:id="66"/>
    <w:bookmarkEnd w:id="66"/>
    <w:p w:rsidR="00000000" w:rsidDel="00000000" w:rsidP="00000000" w:rsidRDefault="00000000" w:rsidRPr="00000000" w14:paraId="000003EE">
      <w:pPr>
        <w:pStyle w:val="Heading2"/>
        <w:rPr/>
      </w:pPr>
      <w:r w:rsidDel="00000000" w:rsidR="00000000" w:rsidRPr="00000000">
        <w:rPr>
          <w:rtl w:val="0"/>
        </w:rPr>
        <w:t xml:space="preserve">Литература по продуктовому менеджменту и стратегии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 E. The Lean Startup. — New York: Crown Business, 2011.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Osterwalder A., Pigneur Y. Business Model Generation. — Hoboken: Wiley, 2010.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Osterwalder A., Pigneur Y., Bernarda G., Smith A. Value Proposition Design. — Hoboken: Wiley, 2014.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Christensen C. M., Hall T., Dillon K., Duncan D. S. Competing Against Luck: The Story of Innovation and Customer Choice (теория Jobs-to-be-Done). — New York: HarperBusiness, 2016.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Olsen D. The Lean Product Playbook. — Hoboken: Wiley, 2015.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Cagan M. Inspired: How to Create Tech Products Customers Love. 2nd ed. — Hoboken: Wiley, 2018.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Torres T. Continuous Discovery Habits. — Product Talk LLC, 2021.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Porter M. E. Competitive Strategy: Techniques for Analyzing Industries and Competitors. — New York: Free Press, 1980.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 W. C., Mauborgne R. Blue Ocean Strategy. — Boston: Harvard Business Review Press, 2005.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McBride S. RICE: Simple prioritization for product managers. — Intercom, 2018. — URL: https://www.intercom.com/blog/rice-simple-prioritization-for-product-managers/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 по верификации: нормативные акты и литература (источники 1–8, 14–23) приведены в действительном виде и проверяемы по названию/номеру. Конкретные числовые показатели рынка 2024–2026 годов (источники 9–13) необходимо при финальном оформлении сопроводить точными ссылками на соответствующие публикации с датами — статистика обновляется, и приведённые в тексте значения следует сверить с первоисточником на дату сдачи.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ljy25kpqv3nr" w:id="67"/>
    <w:bookmarkEnd w:id="67"/>
    <w:p w:rsidR="00000000" w:rsidDel="00000000" w:rsidP="00000000" w:rsidRDefault="00000000" w:rsidRPr="00000000" w14:paraId="000003FB">
      <w:pPr>
        <w:pStyle w:val="Heading1"/>
        <w:rPr/>
      </w:pPr>
      <w:r w:rsidDel="00000000" w:rsidR="00000000" w:rsidRPr="00000000">
        <w:rPr>
          <w:rtl w:val="0"/>
        </w:rPr>
        <w:t xml:space="preserve">ПРИЛОЖЕНИЯ</w:t>
      </w:r>
    </w:p>
    <w:bookmarkStart w:colFirst="0" w:colLast="0" w:name="bookmark=id.rymobzgb313u" w:id="68"/>
    <w:bookmarkEnd w:id="68"/>
    <w:p w:rsidR="00000000" w:rsidDel="00000000" w:rsidP="00000000" w:rsidRDefault="00000000" w:rsidRPr="00000000" w14:paraId="000003FC">
      <w:pPr>
        <w:pStyle w:val="Heading2"/>
        <w:rPr/>
      </w:pPr>
      <w:r w:rsidDel="00000000" w:rsidR="00000000" w:rsidRPr="00000000">
        <w:rPr>
          <w:rtl w:val="0"/>
        </w:rPr>
        <w:t xml:space="preserve">Приложение А. Правовой каркас продукта (Legal Framework)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Сервис обеспечивает строгое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соответствие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ключевым ФЗ (не «обход» — именно соответствие за счёт интеграции с Госключом и СБР).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А.1. 218-ФЗ «О государственной регистрации недвижимости».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Переход права на ММ подлежит обязательной госрегистрации. Решение: подписание УКЭП через «Госключ»; согласно ст. 18 218-ФЗ документы, подписанные УКЭП сторон, равнозначны бумажным с собственноручной подписью. Домклик — оператор передачи данных, направляющий пакет в Росреестр по защищённому каналу СМЭВ.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А.2. 115-ФЗ «О противодействии легализации доходов».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Крупные переводы между физлицами (от 1 млн ₽) часто вызывают финмониторинг и блокировку. Решение: СБР-Лайт — средства покупателя списываются не физлицу, а на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номинальный счёт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Сбербанка (эскроу-логика). При разморозке в назначении платежа автоматически указывается «Выплата по ДКП №… от [дата] за объект с кадастровым номером [№]» — это исключает риск блокировки по 115-ФЗ.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А.3. Семейный кодекс РФ (согласие супруга).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Если ММ приобреталось в браке, для продажи требуется нотариальное согласие супруга; его отсутствие делает сделку оспоримой. Решение (усиленное относительно черновика): на входе система определяет семейный статус продавца (Сбер ID). При наличии брака и отсутствии цифрового/нотариального согласия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Track блокируется, объект маршрутизируется в Assisted-флоу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 аналогии с долевой собственностью), а не ограничивается disclaimer-предупреждением. В фазе Growth — интеграция с Нотариальной палатой для цифрового запроса согласий.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(Риск внесён в матрицу Главы 7.)</w:t>
      </w:r>
      <w:r w:rsidDel="00000000" w:rsidR="00000000" w:rsidRPr="00000000">
        <w:rPr>
          <w:rtl w:val="0"/>
        </w:rPr>
      </w:r>
    </w:p>
    <w:bookmarkStart w:colFirst="0" w:colLast="0" w:name="bookmark=id.6xkzzlgqi682" w:id="69"/>
    <w:bookmarkEnd w:id="69"/>
    <w:p w:rsidR="00000000" w:rsidDel="00000000" w:rsidP="00000000" w:rsidRDefault="00000000" w:rsidRPr="00000000" w14:paraId="00000401">
      <w:pPr>
        <w:pStyle w:val="Heading2"/>
        <w:rPr/>
      </w:pPr>
      <w:r w:rsidDel="00000000" w:rsidR="00000000" w:rsidRPr="00000000">
        <w:rPr>
          <w:rtl w:val="0"/>
        </w:rPr>
        <w:t xml:space="preserve">Приложение Б. Архитектура интеграции API (High-Level)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SLA Time-to-close &lt;24 ч MVP опирается на 4 микросервиса.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Б.1. Сбер ID (Auth &amp; KYC).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OAuth 2.0 / OpenID Connect; данные (ФИО, паспорт, ИНН, СНИЛС, телефон); Uptime 99,99%; предзаполнение ~90% полей ДКП.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Б.2. Шлюз Домклик ↔ Росреестр (Fast Track API).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Асинхронные запросы к ФГИС ЕГРН: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/egrn/check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(кадастровый № → обременения, тип права, ФИО собственника);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/egrn/register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(подписанный ZIP → Ticket ID); Webhook (callback об успешной регистрации → триггер разморозки).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Б.3. Модуль Escrow (СБР-Лайт).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Холдирование средств на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номинальном счёте 40911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(не card-hold — для сумм 1–3 млн ₽ это надёжнее и обходит лимиты/срок авторизации карты). Логика изолирована от ипотечного конвейера: при оплате средства списываются на номинальный счёт; при webhook от Росреестра выполняется перевод продавцу.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Б.4. «Госключ» (криптография).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Через API Минцифры: Домклик отправляет hash (SHA-256) ДКП → пользователю приходит push на подписание → Домклик забирает открепленные подписи (.sig) для пакета в Росреестр.</w:t>
      </w:r>
    </w:p>
    <w:bookmarkStart w:colFirst="0" w:colLast="0" w:name="bookmark=id.8i0fo331ft8d" w:id="70"/>
    <w:bookmarkEnd w:id="70"/>
    <w:p w:rsidR="00000000" w:rsidDel="00000000" w:rsidP="00000000" w:rsidRDefault="00000000" w:rsidRPr="00000000" w14:paraId="00000407">
      <w:pPr>
        <w:pStyle w:val="Heading2"/>
        <w:rPr/>
      </w:pPr>
      <w:r w:rsidDel="00000000" w:rsidR="00000000" w:rsidRPr="00000000">
        <w:rPr>
          <w:rtl w:val="0"/>
        </w:rPr>
        <w:t xml:space="preserve">Приложение В. Транскрипты глубинных интервью (CustDev)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Выдержки из модельных интервью, послуживших основой CJM и JTBD (орфография сохранена).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Респондент 1 — Михаил, 38 (покупатель, место за 1,8 млн ₽):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«Самый ад был в МФЦ… деньги я переводил 1,8 млн через СБП, разбивая по 100 тысяч, потому что лимиты. У меня тряслись руки… Если бы Домклик предложил нажать одну кнопку за 5 тыщ — я бы даже не думал».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Респондент 2 — Анна, 42 (продавец, 2,1 млн ₽):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«Перевёл он мне на Сбер. Через час звонок из службы безопасности: “Откуда деньги, обоснуйте”. Счёт разблокировали только через 3 дня. Я поседела».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Респондент 3 — Игорь, 45 (инвестор, пул 15 мест):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«Мне нужен конвейер… дал объявление, скинул ссылку, он оплатил, я получил деньги. Зачем мне каталог? Они там не ищут. Сделайте кнопку оплаты с регистрацией — готов 10 тысяч с места отстёгивать, только чтобы в МФЦ не стоять».</w:t>
      </w:r>
    </w:p>
    <w:bookmarkStart w:colFirst="0" w:colLast="0" w:name="bookmark=id.w3o3o4uhen5p" w:id="71"/>
    <w:bookmarkEnd w:id="71"/>
    <w:p w:rsidR="00000000" w:rsidDel="00000000" w:rsidP="00000000" w:rsidRDefault="00000000" w:rsidRPr="00000000" w14:paraId="0000040C">
      <w:pPr>
        <w:pStyle w:val="Heading2"/>
        <w:rPr/>
      </w:pPr>
      <w:r w:rsidDel="00000000" w:rsidR="00000000" w:rsidRPr="00000000">
        <w:rPr>
          <w:rtl w:val="0"/>
        </w:rPr>
        <w:t xml:space="preserve">Приложение Г. Референсы UI/UX (микро-лендинг MVP)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Дизайн — минимализм, mobile-first, акцент на доверие.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 1 (покупатель):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логотип Домклик + щит СберБезопасности; фото объекта + карта ЖК; заголовок «Машино-место №42 (18 кв.м)»; зелёная плашка «Юридическая чистота проверена Росреестром»; цена; кнопка «Войти по Сбер ID и купить».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 2 (подписание/холдирование):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«Деньги заморожены на безопасном счёте Сбербанка и перейдут продавцу только после регистрации вашего права собственности».</w:t>
      </w:r>
    </w:p>
    <w:bookmarkStart w:colFirst="0" w:colLast="0" w:name="bookmark=id.7bw2vq1bfdjv" w:id="72"/>
    <w:bookmarkEnd w:id="72"/>
    <w:p w:rsidR="00000000" w:rsidDel="00000000" w:rsidP="00000000" w:rsidRDefault="00000000" w:rsidRPr="00000000" w14:paraId="0000040E">
      <w:pPr>
        <w:pStyle w:val="Heading2"/>
        <w:rPr/>
      </w:pPr>
      <w:r w:rsidDel="00000000" w:rsidR="00000000" w:rsidRPr="00000000">
        <w:rPr>
          <w:rtl w:val="0"/>
        </w:rPr>
        <w:t xml:space="preserve">Приложение Д. Глоссарий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ARPU, CAC, LTV, CJM, JTBD, СБР (безопасные расчёты на номинальном счёте, эскроу-логика), Fast Track, ММ, C2C, B2B2C — определения сохранены из исходной редакции.</w:t>
      </w:r>
    </w:p>
    <w:bookmarkStart w:colFirst="0" w:colLast="0" w:name="bookmark=id.ca5nnm3sbbjl" w:id="73"/>
    <w:bookmarkEnd w:id="73"/>
    <w:p w:rsidR="00000000" w:rsidDel="00000000" w:rsidP="00000000" w:rsidRDefault="00000000" w:rsidRPr="00000000" w14:paraId="00000410">
      <w:pPr>
        <w:pStyle w:val="Heading2"/>
        <w:rPr/>
      </w:pPr>
      <w:r w:rsidDel="00000000" w:rsidR="00000000" w:rsidRPr="00000000">
        <w:rPr>
          <w:rtl w:val="0"/>
        </w:rPr>
        <w:t xml:space="preserve">Приложение Е. Конкурентная матрица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Е.1. Сравнение альтернатив</w:t>
      </w:r>
      <w:r w:rsidDel="00000000" w:rsidR="00000000" w:rsidRPr="00000000">
        <w:rPr>
          <w:rtl w:val="0"/>
        </w:rPr>
      </w:r>
    </w:p>
    <w:tbl>
      <w:tblPr>
        <w:tblStyle w:val="Table31"/>
        <w:tblW w:w="7920.0" w:type="dxa"/>
        <w:jc w:val="left"/>
        <w:tblInd w:w="-108.0" w:type="dxa"/>
        <w:tblLayout w:type="fixed"/>
        <w:tblLook w:val="000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Критерий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Домклик «P2P-ссылка»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МФЦ (офлайн)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Нотариус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Классифайды (Авито/ЦИАН)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</w:t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сервис 5 900 ₽ + госпошлина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госпошлина + выписка (~2 350 ₽) + время</w:t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0,5–1% от суммы (15–30 тыс. ₽)</w:t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бесплатно (только витрина)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Госпошлина</w:t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 (pass-through, как везде)</w:t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Срок сделки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&lt;24 ч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7–14 дней</w:t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3–5 дней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сделка вне платформы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Стресс (UX)</w:t>
            </w:r>
          </w:p>
        </w:tc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низкий (100% онлайн)</w:t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экстремальный</w:t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средний (визит)</w:t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высокий (офлайн-встреча)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Гарантия денег</w:t>
            </w:r>
          </w:p>
        </w:tc>
        <w:tc>
          <w:tcPr/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 (СБР, номинальный счёт)</w:t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депозит нотариуса (дорого)</w:t>
            </w:r>
          </w:p>
        </w:tc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обременений</w:t>
            </w:r>
          </w:p>
        </w:tc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 (Fast Track + классификатор)</w:t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самостоятельно</w:t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Нужно приложение</w:t>
            </w:r>
          </w:p>
        </w:tc>
        <w:tc>
          <w:tcPr/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(Web-App)</w:t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Сравнение по сервисному сбору честное: госпошлину платят во всех каналах. Преимущество Домклик — скорость, безопасность и отсутствие визита, а не «дешевле пошлины».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(Blue Ocean):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Домклик не конкурирует за этап «поиска» с Авито/ЦИАН, а забирает самую маржинальную часть — этап «транзакции». Классифайды служат поставщиками лидов: стороны находят друг друга там, а оформляют сделку через Домклик.</w:t>
      </w:r>
    </w:p>
    <w:bookmarkStart w:colFirst="0" w:colLast="0" w:name="bookmark=id.26ul4qcphytp" w:id="74"/>
    <w:bookmarkEnd w:id="74"/>
    <w:p w:rsidR="00000000" w:rsidDel="00000000" w:rsidP="00000000" w:rsidRDefault="00000000" w:rsidRPr="00000000" w14:paraId="0000043C">
      <w:pPr>
        <w:pStyle w:val="Heading2"/>
        <w:rPr/>
      </w:pPr>
      <w:r w:rsidDel="00000000" w:rsidR="00000000" w:rsidRPr="00000000">
        <w:rPr>
          <w:rtl w:val="0"/>
        </w:rPr>
        <w:t xml:space="preserve">Приложение Ж. Sequence-диаграмма процесса (для IT)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Продавец инициирует сделку → Web-App; 2. UI → Gateway (кадастровый №); 3. Gateway → Росреестр Fast Track (5–10 сек); 4. ответ: статус, тип права, владелец; 5. Gateway генерирует Session_Link_ID; 6. продавец шерит ссылку покупателю; 7. покупатель → редирект на Сбер ID; 8. возврат токена и данных; 9. Gateway компилирует ДКП → экран оплаты; 10. покупатель «Оплатить»; 11. Gateway → Acquiring; средства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списываются на номинальный счёт 40911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12. Gateway → Госключ → push на подписание; 13. подписание, забор .sig; 14. ZIP → Росреестр; 15. асинхронное ожидание 12–24 ч; 16. Webhook «Registration Completed»; 17. перевод средств продавцу с номинального счёта; 18. push/SMS обеим сторонам «Сделка завершена».</w:t>
      </w:r>
    </w:p>
    <w:bookmarkStart w:colFirst="0" w:colLast="0" w:name="bookmark=id.6z9u98gpwbyp" w:id="75"/>
    <w:bookmarkEnd w:id="75"/>
    <w:p w:rsidR="00000000" w:rsidDel="00000000" w:rsidP="00000000" w:rsidRDefault="00000000" w:rsidRPr="00000000" w14:paraId="0000043E">
      <w:pPr>
        <w:pStyle w:val="Heading2"/>
        <w:rPr/>
      </w:pPr>
      <w:r w:rsidDel="00000000" w:rsidR="00000000" w:rsidRPr="00000000">
        <w:rPr>
          <w:rtl w:val="0"/>
        </w:rPr>
        <w:t xml:space="preserve">Приложение З. Маркетинговый бюджет (OpEx 1-й год)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Бюджет согласован с OpEx-маркетинг Главы 6 (~4,2 млн ₽) и переаллоцирован на легитимные каналы (без скрытых посевов).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З.1. Распределение маркетингового бюджета, тыс. ₽</w:t>
      </w:r>
      <w:r w:rsidDel="00000000" w:rsidR="00000000" w:rsidRPr="00000000">
        <w:rPr>
          <w:rtl w:val="0"/>
        </w:rPr>
      </w:r>
    </w:p>
    <w:tbl>
      <w:tblPr>
        <w:tblStyle w:val="Table32"/>
        <w:jc w:val="left"/>
        <w:tblInd w:w="-108.0" w:type="dxa"/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Канал / инструмент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Q4’26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Q1’27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Q2’27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Q3’27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B2B2C: интеграция + премии УК (primary)</w:t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Гиперлокальные коллаборации (прозрачные, через УК)</w:t>
            </w:r>
          </w:p>
        </w:tc>
        <w:tc>
          <w:tcPr/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(Auto.ru / Drom, таргет)</w:t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promo (Сбербанк Онлайн / Домклик)</w:t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 (VC.ru, РБК)</w:t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1 250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~4 150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Комментарий.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Бюджет экстремально низкий для финтех-продукта за счёт виральности: основной органический рост даёт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реальная петля «продавец→покупатель»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(продавец сам шерит ссылку покупателю в сделке), а не оплаченные «посевы от имени соседей». Платный бюджет концентрируется на B2B2C-интеграции с УК (primary-канал) и точечном performance.</w:t>
      </w:r>
    </w:p>
    <w:bookmarkStart w:colFirst="0" w:colLast="0" w:name="bookmark=id.7rq6k6agrgkz" w:id="76"/>
    <w:bookmarkEnd w:id="76"/>
    <w:p w:rsidR="00000000" w:rsidDel="00000000" w:rsidP="00000000" w:rsidRDefault="00000000" w:rsidRPr="00000000" w14:paraId="0000046C">
      <w:pPr>
        <w:pStyle w:val="Heading2"/>
        <w:rPr/>
      </w:pPr>
      <w:r w:rsidDel="00000000" w:rsidR="00000000" w:rsidRPr="00000000">
        <w:rPr>
          <w:rtl w:val="0"/>
        </w:rPr>
        <w:t xml:space="preserve">Приложение И. Юридическая модель «Смарт-ДКП»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Сервис исключает ручной ввод (главная причина отказов Росреестра): предмет договора подтягивается из ФГИС ЕГРН (кадастровый №, площадь, адрес); стороны — из верифицированных профилей Сбер ID; условие оплаты жёстко зашито: «Оплата производится с использованием номинального счёта (эскроу-логика) сервиса безопасных расчётов ПАО Сбербанк; средства передаются продавцу после государственной регистрации перехода права» — эталонная для регистраторов формулировка; акт приёма-передачи встроен в тело ДКП.</w:t>
      </w:r>
    </w:p>
    <w:bookmarkStart w:colFirst="0" w:colLast="0" w:name="bookmark=id.kgf90ocyohw7" w:id="77"/>
    <w:bookmarkEnd w:id="77"/>
    <w:p w:rsidR="00000000" w:rsidDel="00000000" w:rsidP="00000000" w:rsidRDefault="00000000" w:rsidRPr="00000000" w14:paraId="0000046E">
      <w:pPr>
        <w:pStyle w:val="Heading2"/>
        <w:rPr/>
      </w:pPr>
      <w:r w:rsidDel="00000000" w:rsidR="00000000" w:rsidRPr="00000000">
        <w:rPr>
          <w:rtl w:val="0"/>
        </w:rPr>
        <w:t xml:space="preserve">Приложение К. Метрики удовлетворённости и замена Retention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CSI: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замер сразу после разморозки средств («Оцените удобство сделки 1–5»); цель &gt;4,8.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через 14 дней («Порекомендуете соседям?»); цель &gt;70%.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Замена Retention.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эпизодического C2C-продукта классический Retention неприменим (покупка раз в годы). Основная замена 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реферальный коэффициент / K-factor и NPS-driven рекомендации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(виральная петля). Cross-Sell Rate в другие продукты экосистемы — вторичная качественная метрика, не основной KPI.</w:t>
      </w:r>
    </w:p>
    <w:bookmarkStart w:colFirst="0" w:colLast="0" w:name="bookmark=id.w9ph8oyfvq2d" w:id="78"/>
    <w:bookmarkEnd w:id="78"/>
    <w:p w:rsidR="00000000" w:rsidDel="00000000" w:rsidP="00000000" w:rsidRDefault="00000000" w:rsidRPr="00000000" w14:paraId="00000472">
      <w:pPr>
        <w:pStyle w:val="Heading2"/>
        <w:rPr/>
      </w:pPr>
      <w:r w:rsidDel="00000000" w:rsidR="00000000" w:rsidRPr="00000000">
        <w:rPr>
          <w:rtl w:val="0"/>
        </w:rPr>
        <w:t xml:space="preserve">Приложение Л. Сценарии UAT (фрагмент)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 «Генерация P2P-ссылки»: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позитив — валидный кадастровый №, ФИО совпадает, обременений нет → кнопка активна; негатив — залог/ипотека → блок «Объект в залоге»; арест ФССП → блок сессии; несовпадение ФИО (нет доверенности) → «Вы не собственник»;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доля в праве / нет согласия супруга → Assisted-флоу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 «Холдирование» (номинальный счёт):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позитив — оплата + 3DS → «Средства на номинальном счёте»; негатив — превышение лимита карты → graceful degradation с deep-link на увеличение лимита; тайм-аут оплаты → аннулирование ссылки через 30 мин, пуш продавцу.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 «Госключ»: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позитив — подписание обеими сторонами (Face ID) → .sig на бэкенд; негатив — Минцифры 503 → асинхронное ожидание + пуш.</w:t>
      </w:r>
    </w:p>
    <w:bookmarkStart w:colFirst="0" w:colLast="0" w:name="bookmark=id.xl1clumfww3k" w:id="79"/>
    <w:bookmarkEnd w:id="79"/>
    <w:p w:rsidR="00000000" w:rsidDel="00000000" w:rsidP="00000000" w:rsidRDefault="00000000" w:rsidRPr="00000000" w14:paraId="00000476">
      <w:pPr>
        <w:pStyle w:val="Heading2"/>
        <w:rPr/>
      </w:pPr>
      <w:r w:rsidDel="00000000" w:rsidR="00000000" w:rsidRPr="00000000">
        <w:rPr>
          <w:rtl w:val="0"/>
        </w:rPr>
        <w:t xml:space="preserve">Приложение М. Обмен данными с Росреестром (иллюстративно)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Фрагмент иллюстративный; точные боевые XSD-схемы регистрации прав предоставляются Росреестром.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 ZIP-пакета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/egrn/register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request_N.xml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(заявление)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(подпись Домклик как оператора);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DKP_parking_N.pdf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открепленные подписи продавца и покупателя (из Госключа);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Payment_receipt.pdf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квитанция об уплате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госпошлины Росреестра (~2 000–4 000 ₽ по актуальному тарифу, pass-through)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исправлено с ошибочных 350 ₽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структуры XML-заявления (упрощённо): заголовок (MessageId, Timestamp, Sender), OperationType=RegistrationOfRights, ObjectInfo (CadastralNumber, тип=ParkingSpace), Subjects (Seller/Buyer с ФИО и СНИЛС), Documents (ссылка на ДКП).</w:t>
      </w:r>
    </w:p>
    <w:bookmarkStart w:colFirst="0" w:colLast="0" w:name="bookmark=id.1xsjhoh84pp6" w:id="80"/>
    <w:bookmarkEnd w:id="80"/>
    <w:p w:rsidR="00000000" w:rsidDel="00000000" w:rsidP="00000000" w:rsidRDefault="00000000" w:rsidRPr="00000000" w14:paraId="0000047A">
      <w:pPr>
        <w:pStyle w:val="Heading2"/>
        <w:rPr/>
      </w:pPr>
      <w:r w:rsidDel="00000000" w:rsidR="00000000" w:rsidRPr="00000000">
        <w:rPr>
          <w:rtl w:val="0"/>
        </w:rPr>
        <w:t xml:space="preserve">Приложение Н. PR-стратегия и позиционирование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Позиционирование на контрасте «архаичный опасный серый рынок» vs «технологичный безопасный экосистемный продукт».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Покупателям (безопасность):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«Не переводите миллионы на карту незнакомцу — сделка защищена Сбербанком». Каналы: VC.ru, авто-блогеры.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Продавцам (скорость):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«Продайте машино-место за 24 часа без МФЦ». Каналы: таргет VK,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прозрачные коллаборации через УК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(без маскировки под «довольных соседей»), email-рассылки по базе.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B2B-инвесторам (конверсия):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«Оформляйте десятки сделок в один клик». Каналы: РБК Недвижимость, отраслевые конференции.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Отработка возражений: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«5 900 ₽ дорого, в МФЦ пошлина 2 000» → «Сервисный сбор — это страховка от потери миллионов и экономия выходного дня;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госпошлина оплачивается отдельно, как и в любом канале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(мы её не наценяем)».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(Согласовано с pass-through.)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«Боюсь подписывать в телефоне» → образовательная кампания о надёжности УКЭП + Face ID-верификация.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Кризис-коммуникации («Красный код»):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сбоях госсервисов — прозрачное уведомление, подтверждение защиты средств на номинальном счёте, компенсации промокодами при задержке &gt;72 ч по вине платформы.</w:t>
      </w:r>
    </w:p>
    <w:bookmarkStart w:colFirst="0" w:colLast="0" w:name="bookmark=id.1qfi5m4hftqz" w:id="81"/>
    <w:bookmarkEnd w:id="81"/>
    <w:p w:rsidR="00000000" w:rsidDel="00000000" w:rsidP="00000000" w:rsidRDefault="00000000" w:rsidRPr="00000000" w14:paraId="00000481">
      <w:pPr>
        <w:pStyle w:val="Heading2"/>
        <w:rPr/>
      </w:pPr>
      <w:r w:rsidDel="00000000" w:rsidR="00000000" w:rsidRPr="00000000">
        <w:rPr>
          <w:rtl w:val="0"/>
        </w:rPr>
        <w:t xml:space="preserve">Приложение О. Чек-лист готовности к сделке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ju Ajaya" w:id="1" w:date="2026-06-04T06:28:20Z"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заменить англицизмы</w:t>
      </w:r>
    </w:p>
  </w:comment>
  <w:comment w:author="Aju Ajaya" w:id="0" w:date="2026-06-04T06:26:20Z"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отличный вывод для презы</w:t>
      </w:r>
    </w:p>
  </w:comment>
  <w:comment w:author="Aju Ajaya" w:id="3" w:date="2026-06-04T07:34:48Z"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тоже включить презу</w:t>
      </w:r>
    </w:p>
  </w:comment>
  <w:comment w:author="Aju Ajaya" w:id="2" w:date="2026-06-04T07:04:20Z"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прототип то нет)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82" w15:done="0"/>
  <w15:commentEx w15:paraId="00000483" w15:done="0"/>
  <w15:commentEx w15:paraId="00000484" w15:done="0"/>
  <w15:commentEx w15:paraId="0000048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12">
    <w:lvl w:ilvl="0">
      <w:start w:val="9"/>
      <w:numFmt w:val="decimal"/>
      <w:lvlText w:val="%1."/>
      <w:lvlJc w:val="left"/>
      <w:pPr>
        <w:ind w:left="480" w:hanging="480"/>
      </w:pPr>
      <w:rPr/>
    </w:lvl>
    <w:lvl w:ilvl="1">
      <w:start w:val="9"/>
      <w:numFmt w:val="decimal"/>
      <w:lvlText w:val="%2."/>
      <w:lvlJc w:val="left"/>
      <w:pPr>
        <w:ind w:left="1200" w:hanging="480"/>
      </w:pPr>
      <w:rPr/>
    </w:lvl>
    <w:lvl w:ilvl="2">
      <w:start w:val="9"/>
      <w:numFmt w:val="decimal"/>
      <w:lvlText w:val="%3."/>
      <w:lvlJc w:val="left"/>
      <w:pPr>
        <w:ind w:left="1920" w:hanging="480"/>
      </w:pPr>
      <w:rPr/>
    </w:lvl>
    <w:lvl w:ilvl="3">
      <w:start w:val="9"/>
      <w:numFmt w:val="decimal"/>
      <w:lvlText w:val="%4."/>
      <w:lvlJc w:val="left"/>
      <w:pPr>
        <w:ind w:left="2640" w:hanging="480"/>
      </w:pPr>
      <w:rPr/>
    </w:lvl>
    <w:lvl w:ilvl="4">
      <w:start w:val="9"/>
      <w:numFmt w:val="decimal"/>
      <w:lvlText w:val="%5."/>
      <w:lvlJc w:val="left"/>
      <w:pPr>
        <w:ind w:left="3360" w:hanging="480"/>
      </w:pPr>
      <w:rPr/>
    </w:lvl>
    <w:lvl w:ilvl="5">
      <w:start w:val="9"/>
      <w:numFmt w:val="decimal"/>
      <w:lvlText w:val="%6."/>
      <w:lvlJc w:val="left"/>
      <w:pPr>
        <w:ind w:left="4080" w:hanging="480"/>
      </w:pPr>
      <w:rPr/>
    </w:lvl>
    <w:lvl w:ilvl="6">
      <w:start w:val="9"/>
      <w:numFmt w:val="decimal"/>
      <w:lvlText w:val="%7."/>
      <w:lvlJc w:val="left"/>
      <w:pPr>
        <w:ind w:left="4800" w:hanging="480"/>
      </w:pPr>
      <w:rPr/>
    </w:lvl>
    <w:lvl w:ilvl="7">
      <w:start w:val="9"/>
      <w:numFmt w:val="decimal"/>
      <w:lvlText w:val="%8."/>
      <w:lvlJc w:val="left"/>
      <w:pPr>
        <w:ind w:left="5520" w:hanging="480"/>
      </w:pPr>
      <w:rPr/>
    </w:lvl>
    <w:lvl w:ilvl="8">
      <w:start w:val="9"/>
      <w:numFmt w:val="decimal"/>
      <w:lvlText w:val="%9."/>
      <w:lvlJc w:val="left"/>
      <w:pPr>
        <w:ind w:left="6240" w:hanging="480"/>
      </w:pPr>
      <w:rPr/>
    </w:lvl>
  </w:abstractNum>
  <w:abstractNum w:abstractNumId="13">
    <w:lvl w:ilvl="0">
      <w:start w:val="14"/>
      <w:numFmt w:val="decimal"/>
      <w:lvlText w:val="%1."/>
      <w:lvlJc w:val="left"/>
      <w:pPr>
        <w:ind w:left="480" w:hanging="480"/>
      </w:pPr>
      <w:rPr/>
    </w:lvl>
    <w:lvl w:ilvl="1">
      <w:start w:val="14"/>
      <w:numFmt w:val="decimal"/>
      <w:lvlText w:val="%2."/>
      <w:lvlJc w:val="left"/>
      <w:pPr>
        <w:ind w:left="1200" w:hanging="480"/>
      </w:pPr>
      <w:rPr/>
    </w:lvl>
    <w:lvl w:ilvl="2">
      <w:start w:val="14"/>
      <w:numFmt w:val="decimal"/>
      <w:lvlText w:val="%3."/>
      <w:lvlJc w:val="left"/>
      <w:pPr>
        <w:ind w:left="1920" w:hanging="480"/>
      </w:pPr>
      <w:rPr/>
    </w:lvl>
    <w:lvl w:ilvl="3">
      <w:start w:val="14"/>
      <w:numFmt w:val="decimal"/>
      <w:lvlText w:val="%4."/>
      <w:lvlJc w:val="left"/>
      <w:pPr>
        <w:ind w:left="2640" w:hanging="480"/>
      </w:pPr>
      <w:rPr/>
    </w:lvl>
    <w:lvl w:ilvl="4">
      <w:start w:val="14"/>
      <w:numFmt w:val="decimal"/>
      <w:lvlText w:val="%5."/>
      <w:lvlJc w:val="left"/>
      <w:pPr>
        <w:ind w:left="3360" w:hanging="480"/>
      </w:pPr>
      <w:rPr/>
    </w:lvl>
    <w:lvl w:ilvl="5">
      <w:start w:val="14"/>
      <w:numFmt w:val="decimal"/>
      <w:lvlText w:val="%6."/>
      <w:lvlJc w:val="left"/>
      <w:pPr>
        <w:ind w:left="4080" w:hanging="480"/>
      </w:pPr>
      <w:rPr/>
    </w:lvl>
    <w:lvl w:ilvl="6">
      <w:start w:val="14"/>
      <w:numFmt w:val="decimal"/>
      <w:lvlText w:val="%7."/>
      <w:lvlJc w:val="left"/>
      <w:pPr>
        <w:ind w:left="4800" w:hanging="480"/>
      </w:pPr>
      <w:rPr/>
    </w:lvl>
    <w:lvl w:ilvl="7">
      <w:start w:val="14"/>
      <w:numFmt w:val="decimal"/>
      <w:lvlText w:val="%8."/>
      <w:lvlJc w:val="left"/>
      <w:pPr>
        <w:ind w:left="5520" w:hanging="480"/>
      </w:pPr>
      <w:rPr/>
    </w:lvl>
    <w:lvl w:ilvl="8">
      <w:start w:val="14"/>
      <w:numFmt w:val="decimal"/>
      <w:lvlText w:val="%9."/>
      <w:lvlJc w:val="left"/>
      <w:pPr>
        <w:ind w:left="624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23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qzC5FlmLtxvKc4ky9BZ4i8kJxw==">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