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0" w:line="336" w:lineRule="auto"/>
        <w:jc w:val="center"/>
      </w:pPr>
      <w:r>
        <w:rPr>
          <w:rFonts w:ascii="Times New Roman" w:hAnsi="Times New Roman" w:eastAsia="微软雅黑"/>
          <w:b/>
          <w:i w:val="0"/>
          <w:sz w:val="32"/>
        </w:rPr>
        <w:t>《Python 数据分析编程》课程项目报告</w:t>
      </w:r>
    </w:p>
    <w:p>
      <w:pPr>
        <w:spacing w:after="120" w:line="336" w:lineRule="auto"/>
        <w:jc w:val="center"/>
      </w:pPr>
      <w:r>
        <w:rPr>
          <w:rFonts w:ascii="Times New Roman" w:hAnsi="Times New Roman" w:eastAsia="微软雅黑"/>
          <w:b/>
          <w:i w:val="0"/>
          <w:sz w:val="44"/>
        </w:rPr>
        <w:t>无人设备电池健康评估与剩余寿命预测</w:t>
      </w:r>
    </w:p>
    <w:p>
      <w:pPr>
        <w:spacing w:after="960" w:line="336" w:lineRule="auto"/>
        <w:jc w:val="center"/>
      </w:pPr>
      <w:r>
        <w:rPr>
          <w:rFonts w:ascii="Times New Roman" w:hAnsi="Times New Roman" w:eastAsia="微软雅黑"/>
          <w:b/>
          <w:i w:val="0"/>
          <w:sz w:val="30"/>
        </w:rPr>
        <w:t>容量退化建模与不确定性量化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报告题目：题目三　无人设备电池健康评估与剩余寿命预测</w:t>
      </w:r>
      <w:r>
        <w:rPr>
          <w:rFonts w:ascii="Times New Roman" w:hAnsi="Times New Roman" w:eastAsia="宋体"/>
          <w:b/>
          <w:i w:val="0"/>
          <w:sz w:val="28"/>
        </w:rPr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学　　院：</w:t>
      </w:r>
      <w:r>
        <w:rPr>
          <w:rFonts w:ascii="Times New Roman" w:hAnsi="Times New Roman" w:eastAsia="宋体"/>
          <w:b/>
          <w:i w:val="0"/>
          <w:sz w:val="28"/>
        </w:rPr>
        <w:t>未来技术学院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专　　业：</w:t>
      </w:r>
      <w:r>
        <w:rPr>
          <w:rFonts w:ascii="Times New Roman" w:hAnsi="Times New Roman" w:eastAsia="宋体"/>
          <w:b/>
          <w:i w:val="0"/>
          <w:sz w:val="28"/>
        </w:rPr>
        <w:t>人工智能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学　　号：</w:t>
      </w:r>
      <w:r>
        <w:rPr>
          <w:rFonts w:ascii="Times New Roman" w:hAnsi="Times New Roman" w:eastAsia="宋体"/>
          <w:b/>
          <w:i w:val="0"/>
          <w:sz w:val="28"/>
        </w:rPr>
        <w:t>25121605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学生姓名：</w:t>
      </w:r>
      <w:r>
        <w:rPr>
          <w:rFonts w:ascii="Times New Roman" w:hAnsi="Times New Roman" w:eastAsia="宋体"/>
          <w:b/>
          <w:i w:val="0"/>
          <w:sz w:val="28"/>
        </w:rPr>
        <w:t>黄锦添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课　　程：</w:t>
      </w:r>
      <w:r>
        <w:rPr>
          <w:rFonts w:ascii="Times New Roman" w:hAnsi="Times New Roman" w:eastAsia="宋体"/>
          <w:b/>
          <w:i w:val="0"/>
          <w:sz w:val="28"/>
        </w:rPr>
        <w:t>Python 数据分析编程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组　　号：</w:t>
      </w:r>
      <w:r>
        <w:rPr>
          <w:rFonts w:ascii="Times New Roman" w:hAnsi="Times New Roman" w:eastAsia="宋体"/>
          <w:b/>
          <w:i w:val="0"/>
          <w:sz w:val="28"/>
        </w:rPr>
        <w:t>20</w:t>
      </w:r>
    </w:p>
    <w:p>
      <w:r>
        <w:br w:type="page"/>
      </w:r>
    </w:p>
    <w:p>
      <w:pPr>
        <w:spacing w:after="280" w:line="336" w:lineRule="auto"/>
        <w:jc w:val="center"/>
      </w:pPr>
      <w:r>
        <w:rPr>
          <w:rFonts w:ascii="Times New Roman" w:hAnsi="Times New Roman" w:eastAsia="微软雅黑"/>
          <w:b/>
          <w:i w:val="0"/>
          <w:sz w:val="32"/>
        </w:rPr>
        <w:t>摘　　要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锂离子电池是无人设备能量供给与运行安全的核心部件，其可用容量随充放电循环单调衰减并伴随非光滑波动：存在容量再生引起的局部回升，寿命终止判据的阈值平移会引起寿命读数同步变化，部分个体在观测窗口内始终未穿越阈值而构成右删失。本项目以 NASA PCoE 公开电池老化数据为对象，样本为 4 块电池、636 个充放电循环，以寿命预测结果的置信度量化为主线，完成数据治理、退化建模、不确定性分解与维护决策的完整流程。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主要结果有四条。第一，寿命读数对失效阈值高度敏感：阈值在 ±0.05 Ah 区间内平移，约为额定容量的 ±2.5%，寿命读数变动 30–40 个循环；但四块电池的寿命序关系在 80 个阈值取值上保持恒定。第二，四类模型在同一评测口径下的对比表明，随机森林的训练集决定系数达 0.997、测试集决定系数全部为负值，构成树模型函数类不包含趋势成分的结构性反例；趋势和高斯过程回归在输出点预测的同时给出寿命的后验分布。第三，将不确定性分解为定义层、模型形式层与数据层并统一折算为循环数，三层半宽分别为 11–20、0–22 与 6–20 循环，量级相当。第四，名义 90% 的后验区间实际覆盖率为 63%，覆盖缺口主要由点预测的系统性偏差驱动，区间宽度并非主因。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保守口径下，该策略以提前 26.3%–41.6% 寿命为代价，在回测口径下使更换时刻不晚于真实失效；该保证的代价是穿越点由完整序列读出，在线部署时须以模型预测值替代，届时保证不再成立。</w:t>
      </w:r>
    </w:p>
    <w:p>
      <w:pPr>
        <w:spacing w:after="0" w:line="336" w:lineRule="auto"/>
      </w:pPr>
      <w:r>
        <w:rPr>
          <w:rFonts w:ascii="Times New Roman" w:hAnsi="Times New Roman" w:eastAsia="黑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锂离子电池；剩余寿命预测；高斯过程回归；不确定性量化；右删失</w:t>
      </w:r>
    </w:p>
    <w:p>
      <w:r>
        <w:br w:type="page"/>
      </w:r>
    </w:p>
    <w:p>
      <w:pPr>
        <w:spacing w:after="120" w:line="336" w:lineRule="auto"/>
        <w:jc w:val="center"/>
      </w:pPr>
      <w:r>
        <w:rPr>
          <w:rFonts w:ascii="Times New Roman" w:hAnsi="Times New Roman" w:eastAsia="微软雅黑"/>
          <w:b/>
          <w:i w:val="0"/>
          <w:sz w:val="32"/>
        </w:rPr>
        <w:t>目　　录</w:t>
      </w:r>
    </w:p>
    <w:p>
      <w:pPr>
        <w:spacing w:after="60"/>
        <w:ind w:left="0"/>
      </w:pPr>
      <w:r>
        <w:rPr>
          <w:b/>
          <w:sz w:val="24"/>
        </w:rPr>
        <w:t>1　引言</w:t>
      </w:r>
    </w:p>
    <w:p>
      <w:pPr>
        <w:spacing w:after="60"/>
        <w:ind w:left="0"/>
      </w:pPr>
      <w:r>
        <w:rPr>
          <w:b/>
          <w:sz w:val="24"/>
        </w:rPr>
        <w:t>2　数据介绍</w:t>
      </w:r>
    </w:p>
    <w:p>
      <w:pPr>
        <w:spacing w:after="60"/>
        <w:ind w:left="0"/>
      </w:pPr>
      <w:r>
        <w:rPr>
          <w:b/>
          <w:sz w:val="24"/>
        </w:rPr>
        <w:t>3　数据清洗与预处理</w:t>
      </w:r>
    </w:p>
    <w:p>
      <w:pPr>
        <w:spacing w:after="60"/>
        <w:ind w:left="0"/>
      </w:pPr>
      <w:r>
        <w:rPr>
          <w:b/>
          <w:sz w:val="24"/>
        </w:rPr>
        <w:t>4　退化规律与个体差异</w:t>
      </w:r>
    </w:p>
    <w:p>
      <w:pPr>
        <w:spacing w:after="20"/>
        <w:ind w:left="420"/>
      </w:pPr>
      <w:r>
        <w:rPr>
          <w:b w:val="0"/>
          <w:sz w:val="21"/>
        </w:rPr>
        <w:t>4.1 个体差异的五个维度</w:t>
      </w:r>
    </w:p>
    <w:p>
      <w:pPr>
        <w:spacing w:after="20"/>
        <w:ind w:left="420"/>
      </w:pPr>
      <w:r>
        <w:rPr>
          <w:b w:val="0"/>
          <w:sz w:val="21"/>
        </w:rPr>
        <w:t>4.2 容量再生与共模成分</w:t>
      </w:r>
    </w:p>
    <w:p>
      <w:pPr>
        <w:spacing w:after="20"/>
        <w:ind w:left="420"/>
      </w:pPr>
      <w:r>
        <w:rPr>
          <w:b w:val="0"/>
          <w:sz w:val="21"/>
        </w:rPr>
        <w:t>4.3 寿命读数对阈值的敏感性</w:t>
      </w:r>
    </w:p>
    <w:p>
      <w:pPr>
        <w:spacing w:after="60"/>
        <w:ind w:left="0"/>
      </w:pPr>
      <w:r>
        <w:rPr>
          <w:b/>
          <w:sz w:val="24"/>
        </w:rPr>
        <w:t>5　模型构建与对比</w:t>
      </w:r>
    </w:p>
    <w:p>
      <w:pPr>
        <w:spacing w:after="20"/>
        <w:ind w:left="420"/>
      </w:pPr>
      <w:r>
        <w:rPr>
          <w:b w:val="0"/>
          <w:sz w:val="21"/>
        </w:rPr>
        <w:t>5.1 评测口径与任务划分</w:t>
      </w:r>
    </w:p>
    <w:p>
      <w:pPr>
        <w:spacing w:after="20"/>
        <w:ind w:left="420"/>
      </w:pPr>
      <w:r>
        <w:rPr>
          <w:b w:val="0"/>
          <w:sz w:val="21"/>
        </w:rPr>
        <w:t>5.2 线性与双指数参数模型</w:t>
      </w:r>
    </w:p>
    <w:p>
      <w:pPr>
        <w:spacing w:after="20"/>
        <w:ind w:left="420"/>
      </w:pPr>
      <w:r>
        <w:rPr>
          <w:b w:val="0"/>
          <w:sz w:val="21"/>
        </w:rPr>
        <w:t>5.3 随机森林的外推失效</w:t>
      </w:r>
    </w:p>
    <w:p>
      <w:pPr>
        <w:spacing w:after="20"/>
        <w:ind w:left="420"/>
      </w:pPr>
      <w:r>
        <w:rPr>
          <w:b w:val="0"/>
          <w:sz w:val="21"/>
        </w:rPr>
        <w:t>5.4 趋势和高斯过程回归</w:t>
      </w:r>
    </w:p>
    <w:p>
      <w:pPr>
        <w:spacing w:after="20"/>
        <w:ind w:left="420"/>
      </w:pPr>
      <w:r>
        <w:rPr>
          <w:b w:val="0"/>
          <w:sz w:val="21"/>
        </w:rPr>
        <w:t>5.5 四模型对比与显著性检验</w:t>
      </w:r>
    </w:p>
    <w:p>
      <w:pPr>
        <w:spacing w:after="20"/>
        <w:ind w:left="420"/>
      </w:pPr>
      <w:r>
        <w:rPr>
          <w:b w:val="0"/>
          <w:sz w:val="21"/>
        </w:rPr>
        <w:t>5.6 跨个体早期预测</w:t>
      </w:r>
    </w:p>
    <w:p>
      <w:pPr>
        <w:spacing w:after="60"/>
        <w:ind w:left="0"/>
      </w:pPr>
      <w:r>
        <w:rPr>
          <w:b/>
          <w:sz w:val="24"/>
        </w:rPr>
        <w:t>6　不确定性量化、预警与维护策略</w:t>
      </w:r>
    </w:p>
    <w:p>
      <w:pPr>
        <w:spacing w:after="20"/>
        <w:ind w:left="420"/>
      </w:pPr>
      <w:r>
        <w:rPr>
          <w:b w:val="0"/>
          <w:sz w:val="21"/>
        </w:rPr>
        <w:t>6.1 三层不确定性的循环数折算</w:t>
      </w:r>
    </w:p>
    <w:p>
      <w:pPr>
        <w:spacing w:after="20"/>
        <w:ind w:left="420"/>
      </w:pPr>
      <w:r>
        <w:rPr>
          <w:b w:val="0"/>
          <w:sz w:val="21"/>
        </w:rPr>
        <w:t>6.2 最早可信预警时刻</w:t>
      </w:r>
    </w:p>
    <w:p>
      <w:pPr>
        <w:spacing w:after="20"/>
        <w:ind w:left="420"/>
      </w:pPr>
      <w:r>
        <w:rPr>
          <w:b w:val="0"/>
          <w:sz w:val="21"/>
        </w:rPr>
        <w:t>6.3 容量误差向寿命误差的放大</w:t>
      </w:r>
    </w:p>
    <w:p>
      <w:pPr>
        <w:spacing w:after="20"/>
        <w:ind w:left="420"/>
      </w:pPr>
      <w:r>
        <w:rPr>
          <w:b w:val="0"/>
          <w:sz w:val="21"/>
        </w:rPr>
        <w:t>6.4 区间校准与覆盖缺口</w:t>
      </w:r>
    </w:p>
    <w:p>
      <w:pPr>
        <w:spacing w:after="20"/>
        <w:ind w:left="420"/>
      </w:pPr>
      <w:r>
        <w:rPr>
          <w:b w:val="0"/>
          <w:sz w:val="21"/>
        </w:rPr>
        <w:t>6.5 维护策略</w:t>
      </w:r>
    </w:p>
    <w:p>
      <w:pPr>
        <w:spacing w:after="60"/>
        <w:ind w:left="0"/>
      </w:pPr>
      <w:r>
        <w:rPr>
          <w:b/>
          <w:sz w:val="24"/>
        </w:rPr>
        <w:t>7　总结与结论</w:t>
      </w:r>
    </w:p>
    <w:p>
      <w:pPr>
        <w:spacing w:after="60"/>
        <w:ind w:left="0"/>
      </w:pPr>
      <w:r>
        <w:rPr>
          <w:b/>
          <w:sz w:val="24"/>
        </w:rPr>
        <w:t>8　小组成员分工与个人承担</w:t>
      </w:r>
    </w:p>
    <w:p>
      <w:pPr>
        <w:spacing w:after="60"/>
        <w:ind w:left="0"/>
      </w:pPr>
      <w:r>
        <w:rPr>
          <w:b/>
          <w:sz w:val="24"/>
        </w:rPr>
        <w:t>9　附录</w:t>
      </w:r>
    </w:p>
    <w:p>
      <w:pPr>
        <w:spacing w:after="20"/>
        <w:ind w:left="420"/>
      </w:pPr>
      <w:r>
        <w:rPr>
          <w:b w:val="0"/>
          <w:sz w:val="21"/>
        </w:rPr>
        <w:t>9.1 代码仓库</w:t>
      </w:r>
    </w:p>
    <w:p>
      <w:pPr>
        <w:spacing w:after="20"/>
        <w:ind w:left="420"/>
      </w:pPr>
      <w:r>
        <w:rPr>
          <w:b w:val="0"/>
          <w:sz w:val="21"/>
        </w:rPr>
        <w:t>9.2 复现方式</w:t>
      </w:r>
    </w:p>
    <w:p>
      <w:pPr>
        <w:spacing w:after="20"/>
        <w:ind w:left="420"/>
      </w:pPr>
      <w:r>
        <w:rPr>
          <w:b w:val="0"/>
          <w:sz w:val="21"/>
        </w:rPr>
        <w:t>9.3 测试</w:t>
      </w:r>
    </w:p>
    <w:p>
      <w:pPr>
        <w:spacing w:after="20"/>
        <w:ind w:left="420"/>
      </w:pPr>
      <w:r>
        <w:rPr>
          <w:b w:val="0"/>
          <w:sz w:val="21"/>
        </w:rPr>
        <w:t>9.4 核心代码片段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1　引言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无人机、无人车等设备的续航与安全直接受电池状态制约。锂离子电池随充放电循环老化，表现为放电容量衰减、内阻上升；工程上通常以容量跌破额定值的某一比例作为寿命终止（End of Life, EOL）判据，并希望在失效之前尽可能早地预测剩余使用寿命（Remaining Useful Life, RUL）。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该问题的建模难度显著高于其表面复杂度。容量退化曲线存在非光滑波动，表现为容量再生引起的局部回升；寿命终止判据依赖人为选定的阈值，阈值的微小平移会引起寿命读数同步变化；部分个体在观测窗口内未发生失效，寿命仅可给出下界，构成右删失。因此本项目的目标不是输出单点寿命估计，而是同时给出预测值与其不确定度：先刻画退化规律与个体差异，再比较四类预测模型，进而将不确定性分解为可比较的三层，最终落实为维护判据。报告结构对应如下：第 2、3 章为数据介绍与预处理，第 4 章为退化规律与个体差异，第 5 章为建模与对比，第 6 章为不确定性量化与维护策略，第 7 章为总结。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2　数据介绍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数据整理自 NASA PCoE（Prognostics Center of Excellence）公开电池老化数据集，为课程下发的 636 行 × 4 列 CSV 文件，覆盖 B0005、B0006、B0007、B0018 四块锂离子电池个体在恒温 24 ℃ 下的逐循环放电容量，容量记录精确到小数点后 4 位，取值范围 1.15–2.04 Ah，额定容量 2 Ah。字段说明见表 1。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1　数据字段说明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04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字段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4876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battery_id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文本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电池个体编号，共 4 个</w:t>
            </w:r>
          </w:p>
        </w:tc>
      </w:tr>
      <w:tr>
        <w:tc>
          <w:tcPr>
            <w:tcW w:type="dxa" w:w="204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cycle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整数</w:t>
            </w:r>
          </w:p>
        </w:tc>
        <w:tc>
          <w:tcPr>
            <w:tcW w:type="dxa" w:w="4876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充放电循环序号，个体内从 1 递增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capacity_Ah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浮点数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该循环的放电容量（Ah），核心观测量</w:t>
            </w:r>
          </w:p>
        </w:tc>
      </w:tr>
      <w:tr>
        <w:tc>
          <w:tcPr>
            <w:tcW w:type="dxa" w:w="204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ambient_temp_C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浮点数</w:t>
            </w:r>
          </w:p>
        </w:tc>
        <w:tc>
          <w:tcPr>
            <w:tcW w:type="dxa" w:w="4876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环境温度（℃），全表恒为 24.0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四块个体的差异需首先明确，见表 2。以额定容量的 70% 为寿命终止判据，即容量首次不高于 1.4 Ah，B0005、B0006、B0018 的实测寿命分别为 125、109、97 个循环；B0007 在 168 个循环的观测期内最低容量为 1.4005 Ah，始终未到达阈值，构成右删失，寿命只能记为大于 168。四块个体的退化轨迹见图 1。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2　电池个体档案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电池</w:t>
            </w:r>
          </w:p>
        </w:tc>
        <w:tc>
          <w:tcPr>
            <w:tcW w:type="dxa" w:w="85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循环数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首循环容量(Ah)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末循环容量(Ah)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最低容量(Ah)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衰减幅度</w:t>
            </w:r>
          </w:p>
        </w:tc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EOL(循环)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删失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168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1.8565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1.3251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1.2875 @166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30.65%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</w:t>
            </w:r>
          </w:p>
        </w:tc>
        <w:tc>
          <w:tcPr>
            <w:tcW w:type="dxa" w:w="85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168</w:t>
            </w:r>
          </w:p>
        </w:tc>
        <w:tc>
          <w:tcPr>
            <w:tcW w:type="dxa" w:w="130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2.0353</w:t>
            </w:r>
          </w:p>
        </w:tc>
        <w:tc>
          <w:tcPr>
            <w:tcW w:type="dxa" w:w="130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1.1857</w:t>
            </w:r>
          </w:p>
        </w:tc>
        <w:tc>
          <w:tcPr>
            <w:tcW w:type="dxa" w:w="130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1.1538 @164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43.31%</w:t>
            </w:r>
          </w:p>
        </w:tc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109</w:t>
            </w:r>
          </w:p>
        </w:tc>
        <w:tc>
          <w:tcPr>
            <w:tcW w:type="dxa" w:w="68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168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1.8911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1.4325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1.4005 @166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25.94%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&gt;168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</w:t>
            </w:r>
          </w:p>
        </w:tc>
      </w:tr>
      <w:tr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B0018</w:t>
            </w:r>
          </w:p>
        </w:tc>
        <w:tc>
          <w:tcPr>
            <w:tcW w:type="dxa" w:w="85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132</w:t>
            </w:r>
          </w:p>
        </w:tc>
        <w:tc>
          <w:tcPr>
            <w:tcW w:type="dxa" w:w="130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1.8550</w:t>
            </w:r>
          </w:p>
        </w:tc>
        <w:tc>
          <w:tcPr>
            <w:tcW w:type="dxa" w:w="130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1.3411</w:t>
            </w:r>
          </w:p>
        </w:tc>
        <w:tc>
          <w:tcPr>
            <w:tcW w:type="dxa" w:w="130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1.3411 @132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27.70%</w:t>
            </w:r>
          </w:p>
        </w:tc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  <w:tc>
          <w:tcPr>
            <w:tcW w:type="dxa" w:w="68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3541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capacity_degra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1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1　四块电池的容量退化轨迹（水平虚线为 EOL 阈值 τ = 1.4 Ah）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两点说明。其一，B0006 首循环容量为 2.0353 Ah，超过额定值，表明额定 2 Ah 并非这批电池的实际容量上限；以额定容量定义健康状态时会出现大于 100% 的读数，此为数据性质而非计算错误。其二，B0007 的删失判定裕度极小，其最低容量距阈值仅 0.0005 Ah，相当于额定容量的 0.025%，阈值抬升至 1.4005 Ah 即由右删失转为第 166 循环失效。该事实在第 4 章与第 6 章将反复引用。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3　数据清洗与预处理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本章结论为：本数据集不需要删除式清洗，而需要标记式预处理。缺失单元格 0 个、重复记录 0 条，故不执行插值与去重；3σ 与 IQR 两种统计口径在池化与分电池两种聚合方式下均未标记出离群点，原因是容量属趋势型数据，沿循环平滑变化，不存在远离局部水平的极端值。六项处理决策及其依据见表 3，预处理后 636 行与原始数据逐行一致。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3　数据清洗决策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问题</w:t>
            </w:r>
          </w:p>
        </w:tc>
        <w:tc>
          <w:tcPr>
            <w:tcW w:type="dxa" w:w="306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数据事实</w:t>
            </w:r>
          </w:p>
        </w:tc>
        <w:tc>
          <w:tcPr>
            <w:tcW w:type="dxa" w:w="3969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温度列零方差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636 行全部为 24.0 ℃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保留该列，禁止作特征；温度维度不可分析</w:t>
            </w:r>
          </w:p>
        </w:tc>
      </w:tr>
      <w:tr>
        <w:tc>
          <w:tcPr>
            <w:tcW w:type="dxa" w:w="147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容量超额定</w:t>
            </w:r>
          </w:p>
        </w:tc>
        <w:tc>
          <w:tcPr>
            <w:tcW w:type="dxa" w:w="30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 前 7 循环 &gt; 2.0 Ah，最高 2.0353</w:t>
            </w:r>
          </w:p>
        </w:tc>
        <w:tc>
          <w:tcPr>
            <w:tcW w:type="dxa" w:w="3969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保留原值并加标记列；截断或删除会改变衰减斜率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容量再生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 个(电池,循环)对回升 &gt; 0.05 Ah，最大 +0.1519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不平滑，加标记列；建模阶段用趋势加残差显式处理</w:t>
            </w:r>
          </w:p>
        </w:tc>
      </w:tr>
      <w:tr>
        <w:tc>
          <w:tcPr>
            <w:tcW w:type="dxa" w:w="147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右删失</w:t>
            </w:r>
          </w:p>
        </w:tc>
        <w:tc>
          <w:tcPr>
            <w:tcW w:type="dxa" w:w="30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B0007 观测期内未达 1.4 Ah</w:t>
            </w:r>
          </w:p>
        </w:tc>
        <w:tc>
          <w:tcPr>
            <w:tcW w:type="dxa" w:w="3969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寿命如实记为 &gt; 168 循环，不记成观测长度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统计离群点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3σ 与 IQR 在两种聚合下均标记 0 个点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不做统计剔除；唯一异常判定用物理上界且只标记</w:t>
            </w:r>
          </w:p>
        </w:tc>
      </w:tr>
      <w:tr>
        <w:tc>
          <w:tcPr>
            <w:tcW w:type="dxa" w:w="147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缺失与重复</w:t>
            </w:r>
          </w:p>
        </w:tc>
        <w:tc>
          <w:tcPr>
            <w:tcW w:type="dxa" w:w="30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缺失 0 个、重复 0 条</w:t>
            </w:r>
          </w:p>
        </w:tc>
        <w:tc>
          <w:tcPr>
            <w:tcW w:type="dxa" w:w="3969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不插值、不去重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预处理阶段同时建立防泄漏规则。cap_over_rated 与 cap_over_first 分别定义为容量与额定容量之比、容量与首循环容量之比，二者均为容量列的精确仿射变换，最大残差为 2.22×10⁻¹⁶。以二者作为特征预测容量或寿命将构成标签泄漏，产生决定系数接近 1 的虚假结果；二者与电池编号、循环序号及各标记列一并列入特征黑名单，后者仅跨个体任务受限。可用特征只能由滚动或扩张历史窗口构造。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4　退化规律与个体差异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4.1 个体差异的五个维度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将四块电池按水平、速率、形状、波动、寿命五个维度量化，结果见表 4，个体差异由此获得定量刻画，见图 2。初始容量最大相差 9.7%；平均衰减速率最快者为 B0006，−0.5087 Ah/100 循环，为最慢者 B0007 的 1.56 倍；四块个体的线性拟合决定系数均在 0.94 以上，但无量纲曲率全部为正，表明曲线整体呈下弯并趋于平缓；残差标准差为 0.011–0.022 Ah，其中回升点贡献残差方差的 28%–45%。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4　个体差异五维量化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电池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初始容量(Ah)</w:t>
            </w:r>
          </w:p>
        </w:tc>
        <w:tc>
          <w:tcPr>
            <w:tcW w:type="dxa" w:w="164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斜率(Ah/100循环)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线性R²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无量纲曲率</w:t>
            </w:r>
          </w:p>
        </w:tc>
        <w:tc>
          <w:tcPr>
            <w:tcW w:type="dxa" w:w="119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残差σ(Ah)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EOL(循环)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1.8565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−0.3867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0.9756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0.031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0.0120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125</w:t>
            </w:r>
          </w:p>
        </w:tc>
      </w:tr>
      <w:tr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2.0353</w:t>
            </w:r>
          </w:p>
        </w:tc>
        <w:tc>
          <w:tcPr>
            <w:tcW w:type="dxa" w:w="164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−0.5087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0.9637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0.341</w:t>
            </w:r>
          </w:p>
        </w:tc>
        <w:tc>
          <w:tcPr>
            <w:tcW w:type="dxa" w:w="119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0.0223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109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1.8911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−0.3269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0.9763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0.161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0.0109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删失</w:t>
            </w:r>
          </w:p>
        </w:tc>
      </w:tr>
      <w:tr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B0018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1.8550</w:t>
            </w:r>
          </w:p>
        </w:tc>
        <w:tc>
          <w:tcPr>
            <w:tcW w:type="dxa" w:w="164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−0.3926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0.9401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0.356</w:t>
            </w:r>
          </w:p>
        </w:tc>
        <w:tc>
          <w:tcPr>
            <w:tcW w:type="dxa" w:w="119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0.0197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335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individual_differen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2　归一化后的个体差异五维对比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4.2 容量再生与共模成分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退化曲线的非光滑性不能归因于随机噪声。以相邻循环回升超过 0.05 Ah 为事件判据，共检出 12 个电池—循环组合；按同一循环合并后约为 9 个事件。其中在循环 90 上，B0005、B0006、B0007 三块电池同时出现各自的最大回升，幅度分别为 0.0883、0.1519、0.0981 Ah，其后一循环又同时出现各自的最大单步跌幅。将残差按跨电池均值分解为共模成分与个体成分，见图 3：四个电池口径下共模成分占残差方差的 49.6%，独立零基准为 25.0%；同批次三块口径下占 82.4%，零基准为 33.3%。置换检验采用 2000 次环形移位构造零分布，结果显示前三块与共模成分的相关性显著高于各自零基准，而 B0018 不属于该同步簇。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该结果否定了容量再生是各电池独立电化学现象的假设：至少一部分波动来自若干电池共同经历的分量。受数据限制，本报告无法辨识该分量的物理来源，仅主张共同成分的存在性。共模部分作为系统性成分计入第 6 章数据层不确定性，个体部分才构成随机噪声底。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09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trend_resid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09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3　趋势与残差分解及容量再生事件，趋势由窗口长度为 11 的居中滚动中位数给出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4.3 寿命读数对阈值的敏感性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将寿命终止阈值 τ 由 1.25 Ah 扫描至 1.60 Ah，采用断点精确计算而非网格近似，结果见图 4 与表 5。两项事实同时成立：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其一，读数极敏感。阈值每偏移 0.01 Ah，寿命变动 3.00–4.00 个循环；在 ±0.05 Ah 窗口内极差达 30–40 个循环。换用其他寿命终止定义，如 80% 额定容量、70% 或 80% 首循环容量，同一块电池的寿命在四块电池均有确定值的口径下最大相差 2.16 倍，对应 B0005 由 75 循环变为 162 循环；计入删失下界后真实最大比值不低于 2.96 倍。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其二，排序极稳定。四块电池在全部 80 个阈值取值上的寿命序关系恒为 B0018 小于 B0006、B0006 小于 B0005、B0005 小于 B0007，未出现翻转。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由此得到第一项方法论结论：寿命序关系对阈值选取具有稳健性，而寿命点估计的引用必须同时标注阈值与窗口口径。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5　EOL 随阈值的变化（循环）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48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阈值 τ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B0005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B0006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B0007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B0018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1.60 Ah（额定 80%）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</w:t>
            </w:r>
          </w:p>
        </w:tc>
      </w:tr>
      <w:tr>
        <w:tc>
          <w:tcPr>
            <w:tcW w:type="dxa" w:w="2948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1.40 Ah（额定 70%，本报告主线）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125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109</w:t>
            </w:r>
          </w:p>
        </w:tc>
        <w:tc>
          <w:tcPr>
            <w:tcW w:type="dxa" w:w="147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删失(&gt;168)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1.30 Ah（额定 65%）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删失(&gt;168)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删失(&gt;132)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6053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eol_threshold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05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4　阈值扫描下的寿命读数与寿命排序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5　模型构建与对比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5.1 评测口径与任务划分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本项目的预测任务分为两类。任务 A 为个体内轨迹外推：以一块电池自身前 M 个循环拟合，预测其后段容量与寿命；任务 B 为跨个体早期预测：以一块电池前 K = 50 个循环的统计特征，预测未参与训练的另一个体的寿命。两者的验证方式与特征规则完全不同：循环序号在任务 A 中作为时间轴承担回归自变量角色，在任务 B 中则构成泄漏特征，必须禁用。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任务 A 采用时序划分：前 M = 80 循环训练，其后外推 52–88 个循环（占观测长度的 39%–52%），不随机打乱。指标为测试段 RMSE、MAE 与 EOL 误差。两条读表纪律贯穿全章：其一，训练段指标不参与排名，随机森林会记忆样本、GPR 会平滑残差，训练误差低不代表外推能力；其二，不以平均 R² 排名，R² 的分母是各电池测试段自身方差，跨电池平均不具备统计意义，改用逐点符号检验与分块自助法置信区间（块长 1/3/5/10/20 扫描、2000 次重采样）两个独立判据，前者在每个测试点上计数哪一模型更接近真值，两判据同时显著方可下结论。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5.2 线性与双指数参数模型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M1 为线性回归模型，形式为 cap(t) = a + b·t；M2 为双指数模型，形式为 a·e^(b·t) + c·e^(d·t)，外推轨迹见图 5。M2 的雅可比条件数达 10¹¹–10¹² 量级，参数不可辨识；但初值扫描实验表明，沿参数脊移动时训练均方根误差极差小于 10⁻⁷，寿命预测极差为 0，故参数不可辨识仅意味着参数无法解释，不意味着预测不稳定。M2 的实际问题是方向性偏差：外推至观测末端时，其预测在四块电池上全部偏低，偏差范围 −0.096 至 −0.370 Ah，均值 −0.288 Ah，即为贴合训练段的微弱曲率而高估后段衰减率，系统性低估寿命。寿命绝对误差均值方面，M1 为 12.0 循环、最大 21 循环，M2 为 12.7 循环、最大 20 循环，参数数量增加未带来外推精度提升。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511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parametric_extrapo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5　M1 线性与 M2 双指数的外推轨迹，竖线为切分点 M = 80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5.3 随机森林的外推失效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M3 为随机森林，树数量 300，仅以循环序号为自变量，呈现出本项目最显著的对照，见图 6：训练段决定系数为 0.9966–0.9987，测试段决定系数为 −3.57 至 −2.23，四块电池全部为负值，其测试段预测劣于以测试段均值为预测的常数基线。寿命推测层面的失效更为直接：四块电池上模型均预测容量不穿越阈值，无法给出寿命终止点，而 B0005、B0006、B0018 的真实寿命分别为 125、109、97，对已失效个体预测永不失效构成方向性错误。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机制可以严格证明而非推测。树的每次预测都终止于某片叶子并取叶内训练标签均值；对超出训练区间的输入，所有树永远走同一条分裂路径，于是测试段 316 个点的预测值完全相同，极差为 0，达到浮点精度，且该常数必落在训练标签区间内。树长到底时，外推值近似等于末次训练观测，四块电池的差值为 0.004–0.007 Ah，模型外推能力的信息上限即训练集末端。把树从 10 棵加到 1000 棵，外推常数最多移动 0.0037 Ah，测试 R² 依然全负：失效源于偏差，随机森林的分段常值函数类中不包含单调递减趋势成分，增加树数量只能降低方差，无法消除偏差。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将趋势成分从残差中分离，即先作线性拟合、残差交由森林学习、预测时将趋势加回，可恢复外推能力：水平线转为有斜率的直线，测试段均方根误差由 0.1396 Ah 降至 0.0834 Ah；但该结构会引入一个缺乏约束的常数平移，幅度为 0.002–0.050 Ah 且符号不定。该实验结果直接决定了 M4 的结构设计：趋势项与残差项均须显式携带方差。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424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rf_extrapo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6　随机森林在训练段与测试段的预测轨迹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5.4 趋势和高斯过程回归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M4 的结构由两项相加构成：线性趋势项与残差高斯过程项。趋势项由普通最小二乘拟合，参数不确定性按 σ²(XᵀX)⁻¹ 显式传播；残差项交由 RBF 核高斯过程建模，噪声下限固定为最小二乘残差方差，以抑制高斯过程逐点插值训练段所造成的拟合度虚高。两项相加后，寿命估计由单一点估计转为后验分布：抽取 300 条后验路径，每条路径各自求解首次穿越阈值的循环序号，得到寿命的后验分布，见图 7 与图 8。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M4 的能力边界须明确界定。RBF 核的相关长度仅为 3.6–23.0 个循环，远小于 52–88 循环的外推距离；离开数据约 5 倍相关尺度后，后验均值衰减至 10⁻⁷ Ah 量级，点预测退化为趋势线，即平稳核高斯过程不具备自主外推能力，在数据之外后验均值回归至零并如实放大区间。该性质源于平稳核的定义而非实现缺陷：若需高斯过程自行习得趋势，须改用非平稳核，代价是趋势不确定性被纳入超参数、区间宽度的来源不再可解释。故 M4 的价值不在点预测精度，其远场点预测与 M1 一致，而在于给出可检验的不确定性表达。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192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gpr_ba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7　M4 趋势和 GPR：后验均值与 95% 预测带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763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eol_posteri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8　寿命后验分布，由 300 条后验路径的首次穿越循环构成，竖线为真值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5.5 四模型对比与显著性检验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四模型在同一划分、同一套指标下的测试段 RMSE 与 EOL 预测见表 6、表 7（对比图 9）。EOL 一栏必须按三态分开读取：有值、真值删失、模型预测不越阈；混合统计将引入系统性错误。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6　四模型测试段 RMSE（Ah）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电池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M1 线性</w:t>
            </w:r>
          </w:p>
        </w:tc>
        <w:tc>
          <w:tcPr>
            <w:tcW w:type="dxa" w:w="164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M2 双指数</w:t>
            </w:r>
          </w:p>
        </w:tc>
        <w:tc>
          <w:tcPr>
            <w:tcW w:type="dxa" w:w="175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M3 随机森林</w:t>
            </w:r>
          </w:p>
        </w:tc>
        <w:tc>
          <w:tcPr>
            <w:tcW w:type="dxa" w:w="175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M4 趋势和 GPR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B0005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0.0615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0.1574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0.1810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0.0573</w:t>
            </w:r>
          </w:p>
        </w:tc>
      </w:tr>
      <w:tr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</w:t>
            </w:r>
          </w:p>
        </w:tc>
        <w:tc>
          <w:tcPr>
            <w:tcW w:type="dxa" w:w="153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0.1814</w:t>
            </w:r>
          </w:p>
        </w:tc>
        <w:tc>
          <w:tcPr>
            <w:tcW w:type="dxa" w:w="164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0.2341</w:t>
            </w:r>
          </w:p>
        </w:tc>
        <w:tc>
          <w:tcPr>
            <w:tcW w:type="dxa" w:w="175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0.1813</w:t>
            </w:r>
          </w:p>
        </w:tc>
        <w:tc>
          <w:tcPr>
            <w:tcW w:type="dxa" w:w="175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0.1814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B0007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0.0242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0.1976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0.1348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0.0198</w:t>
            </w:r>
          </w:p>
        </w:tc>
      </w:tr>
      <w:tr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B0018</w:t>
            </w:r>
          </w:p>
        </w:tc>
        <w:tc>
          <w:tcPr>
            <w:tcW w:type="dxa" w:w="153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0.0689</w:t>
            </w:r>
          </w:p>
        </w:tc>
        <w:tc>
          <w:tcPr>
            <w:tcW w:type="dxa" w:w="164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0.0660</w:t>
            </w:r>
          </w:p>
        </w:tc>
        <w:tc>
          <w:tcPr>
            <w:tcW w:type="dxa" w:w="175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0.0613</w:t>
            </w:r>
          </w:p>
        </w:tc>
        <w:tc>
          <w:tcPr>
            <w:tcW w:type="dxa" w:w="175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0.0687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7　EOL 预测对比（循环；真值：B0005=125，B0006=109，B0007 删失，B0018=97）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07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电池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M1 线性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M2 双指数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M3 随机森林</w:t>
            </w:r>
          </w:p>
        </w:tc>
        <w:tc>
          <w:tcPr>
            <w:tcW w:type="dxa" w:w="3628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M4 趋势和 GPR</w:t>
            </w:r>
          </w:p>
        </w:tc>
      </w:tr>
      <w:t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不越阈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146（后验中位 145，90% 区间 129–164）</w:t>
            </w:r>
          </w:p>
        </w:tc>
      </w:tr>
      <w:tr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</w:t>
            </w:r>
          </w:p>
        </w:tc>
        <w:tc>
          <w:tcPr>
            <w:tcW w:type="dxa" w:w="113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94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89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不越阈</w:t>
            </w:r>
          </w:p>
        </w:tc>
        <w:tc>
          <w:tcPr>
            <w:tcW w:type="dxa" w:w="3628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94（94，87–99）</w:t>
            </w:r>
          </w:p>
        </w:tc>
      </w:tr>
      <w:t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不越阈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159（158，139–179）</w:t>
            </w:r>
          </w:p>
        </w:tc>
      </w:tr>
      <w:tr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B0018</w:t>
            </w:r>
          </w:p>
        </w:tc>
        <w:tc>
          <w:tcPr>
            <w:tcW w:type="dxa" w:w="113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不越阈</w:t>
            </w:r>
          </w:p>
        </w:tc>
        <w:tc>
          <w:tcPr>
            <w:tcW w:type="dxa" w:w="3628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97（97，88–105）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逐点配对检验的结果：12 个电池与模型对的组合里，7 个两判据一致且显著、3 个差异低于记录精度（0.001 Ah）、1 个判据冲突不下结论、1 个一致不显著。其中 M4 相对 M1 仅在 B0005 上两判据一致显著（ΔMAE = −0.0055 Ah，88 个点中 86 个更近，符号检验 p = 2.5×10⁻²³），其余三块要么判据冲突、要么低于记录精度；M2 在 B0005、B0006、B0007 上显著更差；M3 在 B0005、B0007 上显著更差。结论因此必须保持克制：M4 与 M1 的点预测无实质差异，M4 的增量价值在于预测区间；双指数是函数形式贴合训练段不等于外推准确的反例，随机森林是高训练精度不等于具备外推能力的反例。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19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model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1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9　四模型逐块测试 RMSE 与 EOL 误差对比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5.6 跨个体早期预测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任务 B 用前 50 个循环提取 10 个统计特征包括首循环容量、窗口末容量、相对衰减、整体与末段斜率、线性 R²、无量纲曲率、残差标准差、回升次数与最大回升幅度，特征全部仅依赖 cycle ≤ 50 的数据，这一点由两类正向实验与三条负向控制共同证明：正向实验分别扰动未来容量与删除未来行，负向控制分别注入未来值、未来行数、未来标签三种泄漏通道且全部被检出。验证用留一电池交叉验证（LOBOCV），有寿命标签的个体只有 3 块，每折训练样本只有 2 个。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最优单特征为窗口内最大回升幅度，其平均绝对误差为 26.4 循环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023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lobocv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02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14　任务 B 的留一电池交叉验证：零基准与各单特征的平均绝对误差对比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6　不确定性量化、预警与维护策略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6.1 三层不确定性的循环数折算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寿命点估计的不确定性需要按来源分解。本节将不确定性划分为三层，并统一折算至同一决策量纲（EOL 循环数）以便比较（表 8、图 10）：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定义层由 τ 在 1.4 ± 0.05 Ah 窗口内移动所造成的寿命极差给出，采用无模型扫描原始序列的方式计算，半宽为 11–20 循环。模型形式层由 M1、M2、M4 三个寿命估计的半极差给出，范围为 0–22 循环；需说明的是该层宽度全部来自双指数模型，因为线性与趋势和高斯过程回归的远场点预测完全相同，故该层应读作在双指数亦被视为可信形式前提下形式差异的上界。数据层由 M4 后验 90% 区间半宽给出，含残差噪声与趋势参数误差，范围为 6–20 循环。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三层量级相当但性质不同，分别来源于口径约定、形式选择与统计估计，不可直接相加作为误差棒。本节给出两种合并口径：RSS 为平方和开方，在三层相互独立的假设下成立，偏于乐观；SUM 为直接相加，对应最坏情况，偏于保守。在 3 块有真值的电池上，两种口径均覆盖真值；SUM 宽度为 28–53 循环，其覆盖能力是保守性的代价而非精度的证据。对运维具有直接意义且不依赖跨块比较的结论为：定义层在每块电池上均不可忽略，半宽 11–20 循环，其来源是失效判据约定而非模型能力，因此在模型优化之前必须先固定阈值口径。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8　三层不确定性折算（循环；M = 80，τ = 1.4 Ah）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电池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点估计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真值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定义层半宽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模型层半极差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数据层半宽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RSS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SUM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15.0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19.5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17.6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30.2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52.1</w:t>
            </w:r>
          </w:p>
        </w:tc>
      </w:tr>
      <w:tr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94</w:t>
            </w:r>
          </w:p>
        </w:tc>
        <w:tc>
          <w:tcPr>
            <w:tcW w:type="dxa" w:w="90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109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19.5</w:t>
            </w:r>
          </w:p>
        </w:tc>
        <w:tc>
          <w:tcPr>
            <w:tcW w:type="dxa" w:w="147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2.5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6.0</w:t>
            </w:r>
          </w:p>
        </w:tc>
        <w:tc>
          <w:tcPr>
            <w:tcW w:type="dxa" w:w="90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20.6</w:t>
            </w:r>
          </w:p>
        </w:tc>
        <w:tc>
          <w:tcPr>
            <w:tcW w:type="dxa" w:w="90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28.0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删失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11.0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20.0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31.7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53.0</w:t>
            </w:r>
          </w:p>
        </w:tc>
      </w:tr>
      <w:tr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B0018</w:t>
            </w:r>
          </w:p>
        </w:tc>
        <w:tc>
          <w:tcPr>
            <w:tcW w:type="dxa" w:w="102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  <w:tc>
          <w:tcPr>
            <w:tcW w:type="dxa" w:w="90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20.0</w:t>
            </w:r>
          </w:p>
        </w:tc>
        <w:tc>
          <w:tcPr>
            <w:tcW w:type="dxa" w:w="147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</w:t>
            </w:r>
          </w:p>
        </w:tc>
        <w:tc>
          <w:tcPr>
            <w:tcW w:type="dxa" w:w="136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8.5</w:t>
            </w:r>
          </w:p>
        </w:tc>
        <w:tc>
          <w:tcPr>
            <w:tcW w:type="dxa" w:w="90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21.7</w:t>
            </w:r>
          </w:p>
        </w:tc>
        <w:tc>
          <w:tcPr>
            <w:tcW w:type="dxa" w:w="90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28.5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810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uncertainty_bud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10　三层不确定性预算（统一折算为 EOL 循环数）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6.2 最早可信预警时刻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预警问题定义如下：自第几个循环起可以采信模型的寿命预测。可信度分解为两个不可混用的判据：稳态性判据，即此后所有时刻的预测区间存在公共交集，继续累积数据不改变区间结论，该判据不依赖真值，可在线部署；命中判据，即此后所有时刻的区间均覆盖真值，该判据依赖真值，仅可用于事后诊断。按 95% 置信档，四块电池的稳态时刻依次为 80、100、70、50 循环，对应 B0005、B0006、B0007、B0018，相比采集全程可节省 68–98 个循环的数据量。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区间收敛不构成预测正确的充分条件。B0006 在 90% 置信档下自第 100 循环起区间收敛，却迟至第 110 循环才稳定命中，两者相隔 10 个循环；该个体在 80% 与 90% 置信档的命中时刻甚至晚于真实失效，提前量为 −1 循环。由此得到一条独立结论：区间收窄与区间收敛均不能作为预测正确性的证据。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106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warning_ti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1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11　稳态时刻与命中时刻的对比，两者之差为区间收敛但未覆盖真值的窗口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6.3 容量误差向寿命误差的放大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容量预测误差向寿命误差的传播存在可量化的放大效应。对线性模型存在恒等关系：寿命误差恒等于穿越点容量误差除以斜率绝对值。按可证伪口径实测，同一模型的容量误差自第 1 个前向步传播至真实穿越点时放大 4.1–10.9 倍，有四块中的两块支持该区间，第三块 B0018 为 0.28 倍即误差缩小；按整段测试均方根误差计的实测放大为理论值的 0.58–1.23 倍，两者同量级，表明寿命误差可由容量误差与斜率之比的恒等关系解释，不存在额外机制。斜率绝对值约为 0.003–0.007 Ah/循环，由此得到可用的换算关系：容量差 0.01 Ah 约对应寿命差 1.4–3.3 循环。另一需承认的事实是，训练窗斜率与测试段实际斜率相差 1.03–1.81 倍，斜率本身即为误差源。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6.4 区间校准与覆盖缺口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将 M4 的后验区间对 316 个测试点的真值作覆盖检验（图 12、表 9）：名义 50% 区间实际覆盖 39%，名义 90% 覆盖 63%，名义 99% 覆盖 78%。整体过度自信。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9　区间校准主表（预测口径，316 个测试点）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名义覆盖率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实际覆盖率 PICP</w:t>
            </w:r>
          </w:p>
        </w:tc>
        <w:tc>
          <w:tcPr>
            <w:tcW w:type="dxa" w:w="249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平均区间宽度 MPIW(Ah)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中位绝对偏差(Ah)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39.2%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0.0578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0.0499</w:t>
            </w:r>
          </w:p>
        </w:tc>
      </w:tr>
      <w:tr>
        <w:tc>
          <w:tcPr>
            <w:tcW w:type="dxa" w:w="170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80%</w:t>
            </w:r>
          </w:p>
        </w:tc>
        <w:tc>
          <w:tcPr>
            <w:tcW w:type="dxa" w:w="204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51.6%</w:t>
            </w:r>
          </w:p>
        </w:tc>
        <w:tc>
          <w:tcPr>
            <w:tcW w:type="dxa" w:w="249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0.1097</w:t>
            </w:r>
          </w:p>
        </w:tc>
        <w:tc>
          <w:tcPr>
            <w:tcW w:type="dxa" w:w="215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0.0499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90%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62.7%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0.1408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0.0499</w:t>
            </w:r>
          </w:p>
        </w:tc>
      </w:tr>
      <w:tr>
        <w:tc>
          <w:tcPr>
            <w:tcW w:type="dxa" w:w="170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95%</w:t>
            </w:r>
          </w:p>
        </w:tc>
        <w:tc>
          <w:tcPr>
            <w:tcW w:type="dxa" w:w="204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71.8%</w:t>
            </w:r>
          </w:p>
        </w:tc>
        <w:tc>
          <w:tcPr>
            <w:tcW w:type="dxa" w:w="249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0.1678</w:t>
            </w:r>
          </w:p>
        </w:tc>
        <w:tc>
          <w:tcPr>
            <w:tcW w:type="dxa" w:w="215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0.0499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99%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77.9%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0.2205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0.0499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较覆盖率数值本身更重要的是其掩盖的块间差异：90% 置信档下逐块覆盖率由最差的 10% 到最好的 99%，对应 B0006 与 B0007。区间宽度逐块仅相差 1.15 倍，而点预测中位偏差逐块相差 22.5 倍，表明覆盖率的块间差异由点预测偏差驱动，而非由区间宽度驱动；将 B0006 归因于区间偏窄并不成立，其区间宽度处于正常范围，实际原因是点预测系统性偏低。两条防线用于防止过度解读：其一，316 个测试点来自 4 条高度自相关的序列，按 AR(1) 近似有效样本量仅为约 109，块间极差落在噪声允许范围内，不应解释为个体固有差异；其二，结论随切分点摆动，合并覆盖率在切分点取 60、80、100 时分别为 34%、63%、67%，引用必须标注切分点。若要将合并覆盖率补至 90%，区间需整体放宽约 2.8 倍；该数值为测试集上的事后诊断量，只能用于诊断，不可直接部署。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760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calib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6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12　名义覆盖率与实际覆盖率的对照，对角线为理想校准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6.5 维护策略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将上述分析转化为可执行的维护判据。三条判据均可折算为循环数，因而可在同一口径下比较，见表 10 与图 13。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S1 更换时刻：更换时刻等于更严阈值 1.45 Ah 下该序列的实际穿越点减去不确定性裕度，后者由模型形式层与数据层相加构成。更严阈值取 1.45 Ah 的来源是第 4.3 节的阈值窗口，即正式阈值 1.4 Ah 加半个窗口 0.05 Ah。阈值平移部分属于选定口径，不可省略；裕度部分属于风险对冲成本，减小裕度可降低提前更换代价，但漏检风险相应上升。保守口径下提前 25.5–52.0 循环，相当于真实寿命的 26.3%–41.6%；乐观口径下提前 26.1%–33.0%。必须明确该判据的适用边界：穿越点在已观测的完整序列上计算，属回测口径；在线部署时只能以模型预测的 1.45 Ah 穿越点替代，此时“更严阈值穿越点必不晚于正式阈值”的构造保证不再成立，更换时刻的可靠性退化为该预测本身的可靠性。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S2 采集时长：观测至第 6.2 节的稳态时刻之后再报告寿命，可节省 68–98 循环的数据量。但 S1 与 S2 在 B0006 上相互矛盾：到达预测稳态时刻时，其在线剩余寿命已为负值，该量由点估计减去不确定性裕度再减去当前时刻得到。对该类个体的可执行判据为：不等待区间收敛，按更早期观测直接安排更换。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S3 阈值口径：先将 τ 与窗口写进维护规范。报告序关系可以不带 τ，因为序关系在 80 个阈值上不变；报告绝对寿命必须同时标注 τ 与窗口，±0.05 Ah 即对应 30–40 循环的差异；任何寿命读数的报告均须同时注明 τ、裕度口径与切分点。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10　维护策略 S1：更换时刻与代价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电池</w:t>
            </w:r>
          </w:p>
        </w:tc>
        <w:tc>
          <w:tcPr>
            <w:tcW w:type="dxa" w:w="107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口径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更严阈值穿越点</w:t>
            </w:r>
          </w:p>
        </w:tc>
        <w:tc>
          <w:tcPr>
            <w:tcW w:type="dxa" w:w="1191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裕度(循环)</w:t>
            </w:r>
          </w:p>
        </w:tc>
        <w:tc>
          <w:tcPr>
            <w:tcW w:type="dxa" w:w="107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更换时刻</w:t>
            </w:r>
          </w:p>
        </w:tc>
        <w:tc>
          <w:tcPr>
            <w:tcW w:type="dxa" w:w="850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真值</w:t>
            </w:r>
          </w:p>
        </w:tc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提前量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占寿命比例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RSS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26.2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83.8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41.2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33.0%</w:t>
            </w:r>
          </w:p>
        </w:tc>
      </w:tr>
      <w:tr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B0005</w:t>
            </w:r>
          </w:p>
        </w:tc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SUM</w:t>
            </w:r>
          </w:p>
        </w:tc>
        <w:tc>
          <w:tcPr>
            <w:tcW w:type="dxa" w:w="153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110</w:t>
            </w:r>
          </w:p>
        </w:tc>
        <w:tc>
          <w:tcPr>
            <w:tcW w:type="dxa" w:w="119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37.1</w:t>
            </w:r>
          </w:p>
        </w:tc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73.0</w:t>
            </w:r>
          </w:p>
        </w:tc>
        <w:tc>
          <w:tcPr>
            <w:tcW w:type="dxa" w:w="85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125</w:t>
            </w:r>
          </w:p>
        </w:tc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52.0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41.6%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RSS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87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80.5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28.5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26.1%</w:t>
            </w:r>
          </w:p>
        </w:tc>
      </w:tr>
      <w:tr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B0006</w:t>
            </w:r>
          </w:p>
        </w:tc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SUM</w:t>
            </w:r>
          </w:p>
        </w:tc>
        <w:tc>
          <w:tcPr>
            <w:tcW w:type="dxa" w:w="153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87</w:t>
            </w:r>
          </w:p>
        </w:tc>
        <w:tc>
          <w:tcPr>
            <w:tcW w:type="dxa" w:w="119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8.5</w:t>
            </w:r>
          </w:p>
        </w:tc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78.5</w:t>
            </w:r>
          </w:p>
        </w:tc>
        <w:tc>
          <w:tcPr>
            <w:tcW w:type="dxa" w:w="85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109</w:t>
            </w:r>
          </w:p>
        </w:tc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30.5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28.0%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B0018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RSS/SUM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71.5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26.3%</w:t>
            </w:r>
          </w:p>
        </w:tc>
      </w:tr>
      <w:tr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B0007</w:t>
            </w:r>
          </w:p>
        </w:tc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SUM</w:t>
            </w:r>
          </w:p>
        </w:tc>
        <w:tc>
          <w:tcPr>
            <w:tcW w:type="dxa" w:w="153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144</w:t>
            </w:r>
          </w:p>
        </w:tc>
        <w:tc>
          <w:tcPr>
            <w:tcW w:type="dxa" w:w="1191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42.0</w:t>
            </w:r>
          </w:p>
        </w:tc>
        <w:tc>
          <w:tcPr>
            <w:tcW w:type="dxa" w:w="107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102.0</w:t>
            </w:r>
          </w:p>
        </w:tc>
        <w:tc>
          <w:tcPr>
            <w:tcW w:type="dxa" w:w="850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删失</w:t>
            </w:r>
          </w:p>
        </w:tc>
        <w:tc>
          <w:tcPr>
            <w:tcW w:type="dxa" w:w="964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247"/>
            <w:shd w:val="clear"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145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strateg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1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图 13　三条维护判据：更换点、稳定时刻与在线剩余寿命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7　总结与结论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本项目以 4 块 NASA 老化电池为对象，完成从数据清洗、退化建模到维护决策的完整流程，主要结论五条，由模型层面递进至决策层面：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① 寿命是依赖阈值口径的统计量而非固定常数。阈值移动 ±0.05 Ah，寿命读数变动 30–40 循环；而寿命序关系在 80 个阈值取值上保持不变。寿命点估计的引用必须附带阈值口径。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② 高训练精度不构成外推能力的证据。随机森林训练 R² 0.997、测试 R² 全负，根源在于树模型函数类不包含趋势成分；双指数参数更多却在三块电池上显著更差，根源在于函数形式引入的系统性偏差。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③ 不确定性的主要来源不限于观测噪声。定义层与模型形式层（11–20 / 0–22 循环）与数据层（6–20 循环）处于同一量级；阈值口径的固定应先于模型优化。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区间收敛不构成预测正确的充分条件。B0006 的稳态时刻与命中时刻相差 10 个循环。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⑤ 维护判据须将口径约定与不确定性分离报告，并注明其回测属性。更换时刻等于更严阈值穿越点减去模型与数据裕度，保守口径以提前 26.3%–41.6% 寿命为代价换取不晚于失效的回测结果；在线部署须改用模型预测的穿越点，构造保证随之失效。对预测稳态时刻晚于更换点的个体，不等待预测收敛，直接安排更换。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对电池使用与维护的建议：无人设备运营方应将寿命终止阈值、裕度口径与切分点写入维护规范，按 S1 至 S3 的流程执行，即先固定阈值，到达稳态时刻后采信模型输出，按保守口径排定更换；对本数据这类小样本场景，跨个体模型暂不具备可依赖性，逐个体建模为当前唯一可靠路径。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局限性与后续方向：样本仅 4 块，其中有标签者 3 块，跨个体结论只能作方向性描述；恒温数据无法研究温度效应；M4 的区间未包含模型形式层，覆盖率缺口需更多个体数据才能严格补齐；后续可引入更多批次个体，采用非平稳核或生存分析处理右删失，并将内阻、温度等观测量纳入特征。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8　小组成员分工与个人承担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本项目由第 20 组个人独立完成，无其他组员（表 11）。</w:t>
      </w:r>
    </w:p>
    <w:p>
      <w:pPr>
        <w:spacing w:before="40" w:after="200"/>
        <w:jc w:val="center"/>
      </w:pPr>
      <w:r>
        <w:rPr>
          <w:rFonts w:ascii="Times New Roman" w:hAnsi="Times New Roman" w:eastAsia="微软雅黑"/>
          <w:b/>
          <w:i w:val="0"/>
          <w:color w:val="595959"/>
          <w:sz w:val="21"/>
        </w:rPr>
        <w:t>表 11　分工表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成员姓名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学号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承担章节</w:t>
            </w:r>
          </w:p>
        </w:tc>
        <w:tc>
          <w:tcPr>
            <w:tcW w:type="dxa" w:w="4082"/>
            <w:shd w:val="clear" w:fill="1F386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1"/>
              </w:rPr>
              <w:t>具体工作内容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黄锦添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25121605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全部章节（第 1–9 章）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数据清洗与预处理决策；退化规律与个体差异分析；四类模型（线性、双指数、随机森林、趋势和 GPR）的实现与对比检验；三层不确定性量化；预警时刻、误差放大与区间校准；维护策略设计；全部代码、测试与报告撰写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个人承担说明：分析思路上，先将寿命定义为依赖阈值口径的统计量，再确定用于估计该统计量的模型体系；方法上采用趋势和高斯过程回归以同时获得点预测与预测区间，并以逐点符号检验与分块自助法替代均方误差排名。遇到的主要问题有三个：一是随机森林外推失效，处理方式是将其作为结构性反例写入报告而非删除，并以趋势加残差实验证明失效源于偏差而非方差；二是 B0007 右删失，处理方式是全程单独立口径、不与已失效个体混算误差；三是双指数参数不可辨识，初稿曾据此断言其预测不可靠，经初值扫描实验推翻后改写为参数不可解释而系统性偏差才是要害。分工内容与 Git 提交记录一一对应，仓库地址见附录。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9　附录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9.1 代码仓库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代码使用 Git 管理并托管于 GitHub，全部分析可由代码一键重建：</w:t>
      </w:r>
    </w:p>
    <w:p>
      <w:pPr>
        <w:spacing w:after="120" w:line="336" w:lineRule="auto"/>
      </w:pPr>
      <w:r>
        <w:rPr>
          <w:rFonts w:ascii="Times New Roman" w:hAnsi="Times New Roman" w:eastAsia="微软雅黑"/>
          <w:b/>
          <w:i w:val="0"/>
          <w:sz w:val="24"/>
        </w:rPr>
        <w:t>https://github.com/Tony-Stank-shift/battery-health-and-lifespan-prediction</w:t>
      </w:r>
    </w:p>
    <w:p>
      <w:r>
        <w:rPr>
          <w:sz w:val="21"/>
        </w:rPr>
        <w:t>视频：汇报录屏随课程平台一并提交，录制日期 2026 年 10 月 29 日，时长不超过 4 分 40 秒，讲解顺序与本报告第 4 至第 6 章一致。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结构：src/ 下 20 个模块，按数据、模型、不确定性、策略分层；scripts/ 下有管线入口、产物清单、变异测试与病态输入测试；outputs/ 下全部图表由代码生成，无手工修改。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9.2 复现方式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pip install -r requirements.txt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python scripts/run_all.py --check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第一条安装依赖；第二条重跑 17 步管线（约 2 分钟，实测 118 秒）并与 MANIFEST.sha256 对账，该清单记录 40 个产物的 SHA256 与生成环境，在清空 outputs/ 的干净副本中已实测重建结果与提交版本逐字节一致。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9.3 测试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变异测试 42 条：将断言逐一替换为必然错误的实现，检验断言的判别力，42 条全部被检出；病态输入测试 43 条：覆盖缺失值、常数序列、单点、空表等输入，要求程序要么正确处理、要么显式报错，不得静默返回错误答案。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i w:val="0"/>
          <w:color w:val="1F3864"/>
          <w:sz w:val="28"/>
        </w:rPr>
        <w:t>9.4 核心代码片段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EOL 判定唯一入口（src/config.py）：</w:t>
      </w:r>
    </w:p>
    <w:p>
      <w:pPr>
        <w:ind w:left="425"/>
      </w:pPr>
      <w:r>
        <w:rPr>
          <w:rFonts w:ascii="Consolas" w:hAnsi="Consolas" w:eastAsia="宋体"/>
          <w:b w:val="0"/>
          <w:i w:val="0"/>
          <w:sz w:val="19"/>
        </w:rPr>
        <w:t>def is_at_eol(capacity, tau=None):</w:t>
        <w:br/>
        <w:t xml:space="preserve">    """按统一口径判断容量是否到达 EOL（首次 capacity &lt;= tau）。"""</w:t>
        <w:br/>
        <w:t xml:space="preserve">    tau = EOL_TAU if tau is None else tau</w:t>
        <w:br/>
        <w:t xml:space="preserve">    return np.asarray(capacity) &lt;= tau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EOL 后验路径采样（src/models_gpr.py，节选）：</w:t>
      </w:r>
    </w:p>
    <w:p>
      <w:pPr>
        <w:ind w:left="425"/>
      </w:pPr>
      <w:r>
        <w:rPr>
          <w:rFonts w:ascii="Consolas" w:hAnsi="Consolas" w:eastAsia="宋体"/>
          <w:b w:val="0"/>
          <w:i w:val="0"/>
          <w:sz w:val="19"/>
        </w:rPr>
        <w:t>def eol_paths(model, n_obs, n_samples=N_SAMPLES, seed=GP_SEED):</w:t>
        <w:br/>
        <w:t xml:space="preserve">    """对每条后验路径各自求首次穿越 tau 的循环号，得到寿命的后验分布。</w:t>
        <w:br/>
        <w:t xml:space="preserve">    逐条路径求穿越而不是对均值曲线求一次：两者相差 1-2 个循环，分布信息全在前者。"""</w:t>
        <w:br/>
        <w:t xml:space="preserve">    ...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