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line="276"/>
      </w:pPr>
      <w:r>
        <w:rPr>
          <w:rFonts w:ascii="Arial" w:cs="Arial" w:eastAsia="Arial" w:hAnsi="Arial"/>
          <w:b/>
          <w:bCs/>
          <w:i w:val="false"/>
          <w:iCs w:val="false"/>
          <w:color w:val="34495E"/>
          <w:sz w:val="20"/>
          <w:szCs w:val="20"/>
        </w:rPr>
        <w:t xml:space="preserve">API–EXCIPIENT INCOMPATIBILITY</w:t>
      </w:r>
    </w:p>
    <w:p>
      <w:pPr>
        <w:spacing w:after="80" w:before="0" w:line="276"/>
      </w:pPr>
      <w:r>
        <w:rPr>
          <w:rFonts w:ascii="Arial" w:cs="Arial" w:eastAsia="Arial" w:hAnsi="Arial"/>
          <w:b/>
          <w:bCs/>
          <w:i w:val="false"/>
          <w:iCs w:val="false"/>
          <w:color w:val="1F4E79"/>
          <w:sz w:val="48"/>
          <w:szCs w:val="48"/>
        </w:rPr>
        <w:t xml:space="preserve">Gated Bilinear PairNet</w:t>
      </w:r>
    </w:p>
    <w:p>
      <w:pPr>
        <w:spacing w:after="200" w:before="0" w:line="276"/>
      </w:pPr>
      <w:r>
        <w:rPr>
          <w:rFonts w:ascii="Arial" w:cs="Arial" w:eastAsia="Arial" w:hAnsi="Arial"/>
          <w:b w:val="false"/>
          <w:bCs w:val="false"/>
          <w:i/>
          <w:iCs/>
          <w:color w:val="34495E"/>
          <w:sz w:val="24"/>
          <w:szCs w:val="24"/>
        </w:rPr>
        <w:t xml:space="preserve">Architecture, changes from PARDHU's model, and results on every test set</w:t>
      </w:r>
    </w:p>
    <w:p>
      <w:pPr>
        <w:spacing w:after="280" w:before="0" w:line="276"/>
      </w:pPr>
      <w:r>
        <w:rPr>
          <w:rFonts w:ascii="Arial" w:cs="Arial" w:eastAsia="Arial" w:hAnsi="Arial"/>
          <w:b w:val="false"/>
          <w:bCs w:val="false"/>
          <w:i w:val="false"/>
          <w:iCs w:val="false"/>
          <w:color w:val="34495E"/>
          <w:sz w:val="20"/>
          <w:szCs w:val="20"/>
        </w:rPr>
        <w:t xml:space="preserve">Written so a formulator who codes a little can follow every piece. No step is left as jargon.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CFDC" w:sz="4"/>
              <w:left w:val="single" w:color="BFCFDC" w:sz="4"/>
              <w:bottom w:val="single" w:color="BFCFDC" w:sz="4"/>
              <w:right w:val="single" w:color="BFCFDC" w:sz="4"/>
            </w:tcBorders>
            <w:shd w:fill="EAF2F8"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One-sentence version</w:t>
            </w:r>
          </w:p>
          <w:p>
            <w:pPr>
              <w:spacing w:after="0" w:line="276"/>
            </w:pPr>
            <w:r>
              <w:rPr>
                <w:rFonts w:ascii="Arial" w:cs="Arial" w:eastAsia="Arial" w:hAnsi="Arial"/>
                <w:color w:val="222222"/>
                <w:sz w:val="21"/>
                <w:szCs w:val="21"/>
              </w:rPr>
              <w:t xml:space="preserve">PARDHU's model looks at both molecules, sticks their fingerprints together, and guesses. Because incompatibles are rare, it was also told “positives matter more” twice. It therefore cried wolf a lot (56 compatible pairs flagged on the official test). Gated Bilinear PairNet keeps his fingerprints and his three pair operators, drops the double-weighting, and adds three things a formulator already knows: some excipients are historically hotter than others, the API and the excipient should be read as two molecules not one mashed vector, and “amine × sugar” is an interaction, not a sum.</w:t>
            </w:r>
          </w:p>
        </w:tc>
      </w:tr>
    </w:tbl>
    <w:p>
      <w:pPr>
        <w:pStyle w:val="Heading1"/>
        <w:pBdr>
          <w:bottom w:val="single" w:color="1F4E79" w:sz="12" w:space="4"/>
        </w:pBdr>
        <w:spacing w:after="160" w:before="360"/>
      </w:pPr>
      <w:r>
        <w:rPr>
          <w:rFonts w:ascii="Arial" w:cs="Arial" w:eastAsia="Arial" w:hAnsi="Arial"/>
          <w:b/>
          <w:bCs/>
          <w:color w:val="1F4E79"/>
          <w:sz w:val="32"/>
          <w:szCs w:val="32"/>
        </w:rPr>
        <w:t xml:space="preserve">1.  What the model is asked to do</w:t>
      </w:r>
    </w:p>
    <w:p>
      <w:pPr>
        <w:spacing w:after="80" w:before="80" w:line="276"/>
      </w:pPr>
      <w:r>
        <w:rPr>
          <w:rFonts w:ascii="Arial" w:cs="Arial" w:eastAsia="Arial" w:hAnsi="Arial"/>
          <w:b w:val="false"/>
          <w:bCs w:val="false"/>
          <w:i w:val="false"/>
          <w:iCs w:val="false"/>
          <w:color w:val="222222"/>
          <w:sz w:val="22"/>
          <w:szCs w:val="22"/>
        </w:rPr>
        <w:t xml:space="preserve">You give the model two SMILES strings: one for the API (the drug) and one for the excipient (the inactive ingredient). It returns a number between 0 and 1.</w:t>
      </w:r>
    </w:p>
    <w:p>
      <w:pPr>
        <w:pStyle w:val="ListParagraph"/>
        <w:numPr>
          <w:ilvl w:val="0"/>
          <w:numId w:val="2"/>
        </w:numPr>
        <w:spacing w:after="40" w:before="40" w:line="260"/>
      </w:pPr>
      <w:r>
        <w:rPr>
          <w:rFonts w:ascii="Arial" w:cs="Arial" w:eastAsia="Arial" w:hAnsi="Arial"/>
          <w:color w:val="222222"/>
          <w:sz w:val="22"/>
          <w:szCs w:val="22"/>
        </w:rPr>
        <w:t xml:space="preserve">Close to 0 means “these two should be fine together” (compatible, class 0).</w:t>
      </w:r>
    </w:p>
    <w:p>
      <w:pPr>
        <w:pStyle w:val="ListParagraph"/>
        <w:numPr>
          <w:ilvl w:val="0"/>
          <w:numId w:val="2"/>
        </w:numPr>
        <w:spacing w:after="40" w:before="40" w:line="260"/>
      </w:pPr>
      <w:r>
        <w:rPr>
          <w:rFonts w:ascii="Arial" w:cs="Arial" w:eastAsia="Arial" w:hAnsi="Arial"/>
          <w:color w:val="222222"/>
          <w:sz w:val="22"/>
          <w:szCs w:val="22"/>
        </w:rPr>
        <w:t xml:space="preserve">Close to 1 means “these two are likely to react or degrade” (incompatible, class 1).</w:t>
      </w:r>
    </w:p>
    <w:p>
      <w:pPr>
        <w:spacing w:after="80" w:before="80" w:line="276"/>
      </w:pPr>
      <w:r>
        <w:rPr>
          <w:rFonts w:ascii="Arial" w:cs="Arial" w:eastAsia="Arial" w:hAnsi="Arial"/>
          <w:b w:val="false"/>
          <w:bCs w:val="false"/>
          <w:i w:val="false"/>
          <w:iCs w:val="false"/>
          <w:color w:val="222222"/>
          <w:sz w:val="22"/>
          <w:szCs w:val="22"/>
        </w:rPr>
        <w:t xml:space="preserve">A threshold turns that number into a yes/no call. The shipped threshold is 0.82. A second, more aggressive screen cut of 0.60 is available when missing a real incompatibility is worse than an extra flag.</w:t>
      </w:r>
    </w:p>
    <w:p>
      <w:pPr>
        <w:spacing w:after="80" w:before="80" w:line="276"/>
      </w:pPr>
      <w:r>
        <w:rPr>
          <w:rFonts w:ascii="Arial" w:cs="Arial" w:eastAsia="Arial" w:hAnsi="Arial"/>
          <w:b w:val="false"/>
          <w:bCs w:val="false"/>
          <w:i w:val="false"/>
          <w:iCs w:val="false"/>
          <w:color w:val="222222"/>
          <w:sz w:val="22"/>
          <w:szCs w:val="22"/>
        </w:rPr>
        <w:t xml:space="preserve">The data is badly imbalanced. Incompatibles are about 9 percent of training pairs. A model that just says “compatible” every time is already 91 percent accurate and completely useless. That is why we watch PR-AUC, MCC, and false positives on class 0 — not accuracy alone.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000"/>
        <w:gridCol w:w="2880"/>
      </w:tblGrid>
      <w:tr>
        <w:trPr>
          <w:tblHeader/>
        </w:trPr>
        <w:tc>
          <w:tcPr>
            <w:tcW w:type="dxa" w:w="1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Split</w:t>
            </w:r>
          </w:p>
        </w:tc>
        <w:tc>
          <w:tcPr>
            <w:tcW w:type="dxa" w:w="14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Pairs</w:t>
            </w:r>
          </w:p>
        </w:tc>
        <w:tc>
          <w:tcPr>
            <w:tcW w:type="dxa" w:w="2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Incompatible (1)</w:t>
            </w:r>
          </w:p>
        </w:tc>
        <w:tc>
          <w:tcPr>
            <w:tcW w:type="dxa" w:w="2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Compatible (0)</w:t>
            </w:r>
          </w:p>
        </w:tc>
        <w:tc>
          <w:tcPr>
            <w:tcW w:type="dxa" w:w="28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What it tests</w:t>
            </w:r>
          </w:p>
        </w:tc>
      </w:tr>
      <w:tr>
        <w:tc>
          <w:tcPr>
            <w:tcW w:type="dxa" w:w="1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Train</w:t>
            </w:r>
          </w:p>
        </w:tc>
        <w:tc>
          <w:tcPr>
            <w:tcW w:type="dxa" w:w="1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2,030</w:t>
            </w:r>
          </w:p>
        </w:tc>
        <w:tc>
          <w:tcPr>
            <w:tcW w:type="dxa" w:w="2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~9%</w:t>
            </w:r>
          </w:p>
        </w:tc>
        <w:tc>
          <w:tcPr>
            <w:tcW w:type="dxa" w:w="2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the rest</w:t>
            </w:r>
          </w:p>
        </w:tc>
        <w:tc>
          <w:tcPr>
            <w:tcW w:type="dxa" w:w="28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Fit weights and the excipient prior</w:t>
            </w:r>
          </w:p>
        </w:tc>
      </w:tr>
      <w:tr>
        <w:tc>
          <w:tcPr>
            <w:tcW w:type="dxa" w:w="1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Validation</w:t>
            </w:r>
          </w:p>
        </w:tc>
        <w:tc>
          <w:tcPr>
            <w:tcW w:type="dxa" w:w="1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842</w:t>
            </w:r>
          </w:p>
        </w:tc>
        <w:tc>
          <w:tcPr>
            <w:tcW w:type="dxa" w:w="2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76</w:t>
            </w:r>
          </w:p>
        </w:tc>
        <w:tc>
          <w:tcPr>
            <w:tcW w:type="dxa" w:w="2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766</w:t>
            </w:r>
          </w:p>
        </w:tc>
        <w:tc>
          <w:tcPr>
            <w:tcW w:type="dxa" w:w="28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Pick the threshold, early-stop</w:t>
            </w:r>
          </w:p>
        </w:tc>
      </w:tr>
      <w:tr>
        <w:tc>
          <w:tcPr>
            <w:tcW w:type="dxa" w:w="1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Official test</w:t>
            </w:r>
          </w:p>
        </w:tc>
        <w:tc>
          <w:tcPr>
            <w:tcW w:type="dxa" w:w="1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672</w:t>
            </w:r>
          </w:p>
        </w:tc>
        <w:tc>
          <w:tcPr>
            <w:tcW w:type="dxa" w:w="2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77</w:t>
            </w:r>
          </w:p>
        </w:tc>
        <w:tc>
          <w:tcPr>
            <w:tcW w:type="dxa" w:w="2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595</w:t>
            </w:r>
          </w:p>
        </w:tc>
        <w:tc>
          <w:tcPr>
            <w:tcW w:type="dxa" w:w="28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API-cluster hold-out — the real number</w:t>
            </w:r>
          </w:p>
        </w:tc>
      </w:tr>
      <w:tr>
        <w:tc>
          <w:tcPr>
            <w:tcW w:type="dxa" w:w="1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193-row dump</w:t>
            </w:r>
          </w:p>
        </w:tc>
        <w:tc>
          <w:tcPr>
            <w:tcW w:type="dxa" w:w="1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193</w:t>
            </w:r>
          </w:p>
        </w:tc>
        <w:tc>
          <w:tcPr>
            <w:tcW w:type="dxa" w:w="2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3</w:t>
            </w:r>
          </w:p>
        </w:tc>
        <w:tc>
          <w:tcPr>
            <w:tcW w:type="dxa" w:w="2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190</w:t>
            </w:r>
          </w:p>
        </w:tc>
        <w:tc>
          <w:tcPr>
            <w:tcW w:type="dxa" w:w="28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Stress test: mostly one unseen polymer</w:t>
            </w:r>
          </w:p>
        </w:tc>
      </w:tr>
      <w:tr>
        <w:tc>
          <w:tcPr>
            <w:tcW w:type="dxa" w:w="1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24-row named set</w:t>
            </w:r>
          </w:p>
        </w:tc>
        <w:tc>
          <w:tcPr>
            <w:tcW w:type="dxa" w:w="1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24</w:t>
            </w:r>
          </w:p>
        </w:tc>
        <w:tc>
          <w:tcPr>
            <w:tcW w:type="dxa" w:w="2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12</w:t>
            </w:r>
          </w:p>
        </w:tc>
        <w:tc>
          <w:tcPr>
            <w:tcW w:type="dxa" w:w="2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12</w:t>
            </w:r>
          </w:p>
        </w:tc>
        <w:tc>
          <w:tcPr>
            <w:tcW w:type="dxa" w:w="28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Nguyen's published incompatibles + marketed pairs</w:t>
            </w:r>
          </w:p>
        </w:tc>
      </w:tr>
    </w:tbl>
    <w:p>
      <w:pPr>
        <w:spacing w:after="200" w:before="60"/>
        <w:jc w:val="center"/>
      </w:pPr>
      <w:r>
        <w:rPr>
          <w:rFonts w:ascii="Arial" w:cs="Arial" w:eastAsia="Arial" w:hAnsi="Arial"/>
          <w:i/>
          <w:iCs/>
          <w:color w:val="34495E"/>
          <w:sz w:val="18"/>
          <w:szCs w:val="18"/>
        </w:rPr>
        <w:t xml:space="preserve">Table 1. The five files this document reports. The official test is the one to quote.</w:t>
      </w:r>
    </w:p>
    <w:p>
      <w:pPr>
        <w:pStyle w:val="Heading1"/>
        <w:pBdr>
          <w:bottom w:val="single" w:color="1F4E79" w:sz="12" w:space="4"/>
        </w:pBdr>
        <w:spacing w:after="160" w:before="360"/>
      </w:pPr>
      <w:r>
        <w:rPr>
          <w:rFonts w:ascii="Arial" w:cs="Arial" w:eastAsia="Arial" w:hAnsi="Arial"/>
          <w:b/>
          <w:bCs/>
          <w:color w:val="1F4E79"/>
          <w:sz w:val="32"/>
          <w:szCs w:val="32"/>
        </w:rPr>
        <w:t xml:space="preserve">2.  PARDHU's model, in plain language</w:t>
      </w:r>
    </w:p>
    <w:p>
      <w:pPr>
        <w:spacing w:after="80" w:before="80" w:line="276"/>
      </w:pPr>
      <w:r>
        <w:rPr>
          <w:rFonts w:ascii="Arial" w:cs="Arial" w:eastAsia="Arial" w:hAnsi="Arial"/>
          <w:b w:val="false"/>
          <w:bCs w:val="false"/>
          <w:i w:val="false"/>
          <w:iCs w:val="false"/>
          <w:color w:val="222222"/>
          <w:sz w:val="22"/>
          <w:szCs w:val="22"/>
        </w:rPr>
        <w:t xml:space="preserve">PARDHU's model is the original pipeline named fixed_vector_maccs_concat_weighted_bce. Everything in this document that says “PARDHU's model” means that network.</w:t>
      </w:r>
    </w:p>
    <w:p>
      <w:pPr>
        <w:pStyle w:val="Heading2"/>
        <w:spacing w:after="120" w:before="280"/>
      </w:pPr>
      <w:r>
        <w:rPr>
          <w:rFonts w:ascii="Arial" w:cs="Arial" w:eastAsia="Arial" w:hAnsi="Arial"/>
          <w:b/>
          <w:bCs/>
          <w:color w:val="1F4E79"/>
          <w:sz w:val="26"/>
          <w:szCs w:val="26"/>
        </w:rPr>
        <w:t xml:space="preserve">2.1  What it did</w:t>
      </w:r>
    </w:p>
    <w:p>
      <w:pPr>
        <w:pStyle w:val="ListParagraph"/>
        <w:numPr>
          <w:ilvl w:val="0"/>
          <w:numId w:val="2"/>
        </w:numPr>
        <w:spacing w:after="40" w:before="40" w:line="260"/>
      </w:pPr>
      <w:r>
        <w:rPr>
          <w:rFonts w:ascii="Arial" w:cs="Arial" w:eastAsia="Arial" w:hAnsi="Arial"/>
          <w:color w:val="222222"/>
          <w:sz w:val="22"/>
          <w:szCs w:val="22"/>
        </w:rPr>
        <w:t xml:space="preserve">Read MACCS keys (a 166/167-bit checklist of functional groups) for the API and for the excipient.</w:t>
      </w:r>
    </w:p>
    <w:p>
      <w:pPr>
        <w:pStyle w:val="ListParagraph"/>
        <w:numPr>
          <w:ilvl w:val="0"/>
          <w:numId w:val="2"/>
        </w:numPr>
        <w:spacing w:after="40" w:before="40" w:line="260"/>
      </w:pPr>
      <w:r>
        <w:rPr>
          <w:rFonts w:ascii="Arial" w:cs="Arial" w:eastAsia="Arial" w:hAnsi="Arial"/>
          <w:color w:val="222222"/>
          <w:sz w:val="22"/>
          <w:szCs w:val="22"/>
        </w:rPr>
        <w:t xml:space="preserve">Read 21 RDKit descriptors: size, logP, TPSA, donors, acceptors, rotatable bonds, rings, CSP3, heavy atoms, plus fragment counts such as fr_NH2, fr_ester, fr_phenol, fr_halogen.</w:t>
      </w:r>
    </w:p>
    <w:p>
      <w:pPr>
        <w:pStyle w:val="ListParagraph"/>
        <w:numPr>
          <w:ilvl w:val="0"/>
          <w:numId w:val="2"/>
        </w:numPr>
        <w:spacing w:after="40" w:before="40" w:line="260"/>
      </w:pPr>
      <w:r>
        <w:rPr>
          <w:rFonts w:ascii="Arial" w:cs="Arial" w:eastAsia="Arial" w:hAnsi="Arial"/>
          <w:color w:val="222222"/>
          <w:sz w:val="22"/>
          <w:szCs w:val="22"/>
        </w:rPr>
        <w:t xml:space="preserve">Projected MACCS to 128 numbers and descriptors to 24 numbers, then glued those into a 152-number vector per molecule.</w:t>
      </w:r>
    </w:p>
    <w:p>
      <w:pPr>
        <w:pStyle w:val="ListParagraph"/>
        <w:numPr>
          <w:ilvl w:val="0"/>
          <w:numId w:val="2"/>
        </w:numPr>
        <w:spacing w:after="40" w:before="40" w:line="260"/>
      </w:pPr>
      <w:r>
        <w:rPr>
          <w:rFonts w:ascii="Arial" w:cs="Arial" w:eastAsia="Arial" w:hAnsi="Arial"/>
          <w:color w:val="222222"/>
          <w:sz w:val="22"/>
          <w:szCs w:val="22"/>
        </w:rPr>
        <w:t xml:space="preserve">Built a pair vector of 609 numbers: API vector, excipient vector, their element-wise product, and their absolute difference.</w:t>
      </w:r>
    </w:p>
    <w:p>
      <w:pPr>
        <w:pStyle w:val="ListParagraph"/>
        <w:numPr>
          <w:ilvl w:val="0"/>
          <w:numId w:val="2"/>
        </w:numPr>
        <w:spacing w:after="40" w:before="40" w:line="260"/>
      </w:pPr>
      <w:r>
        <w:rPr>
          <w:rFonts w:ascii="Arial" w:cs="Arial" w:eastAsia="Arial" w:hAnsi="Arial"/>
          <w:color w:val="222222"/>
          <w:sz w:val="22"/>
          <w:szCs w:val="22"/>
        </w:rPr>
        <w:t xml:space="preserve">Sent that through a small MLP with GELU, LayerNorm and dropout.</w:t>
      </w:r>
    </w:p>
    <w:p>
      <w:pPr>
        <w:pStyle w:val="ListParagraph"/>
        <w:numPr>
          <w:ilvl w:val="0"/>
          <w:numId w:val="2"/>
        </w:numPr>
        <w:spacing w:after="40" w:before="40" w:line="260"/>
      </w:pPr>
      <w:r>
        <w:rPr>
          <w:rFonts w:ascii="Arial" w:cs="Arial" w:eastAsia="Arial" w:hAnsi="Arial"/>
          <w:color w:val="222222"/>
          <w:sz w:val="22"/>
          <w:szCs w:val="22"/>
        </w:rPr>
        <w:t xml:space="preserve">Trained with a WeightedRandomSampler (incompatibles drawn more often) and weighted BCE (incompatibles also cost more in the loss).</w:t>
      </w:r>
    </w:p>
    <w:p>
      <w:pPr>
        <w:pStyle w:val="ListParagraph"/>
        <w:numPr>
          <w:ilvl w:val="0"/>
          <w:numId w:val="2"/>
        </w:numPr>
        <w:spacing w:after="40" w:before="40" w:line="260"/>
      </w:pPr>
      <w:r>
        <w:rPr>
          <w:rFonts w:ascii="Arial" w:cs="Arial" w:eastAsia="Arial" w:hAnsi="Arial"/>
          <w:color w:val="222222"/>
          <w:sz w:val="22"/>
          <w:szCs w:val="22"/>
        </w:rPr>
        <w:t xml:space="preserve">Picked the threshold on validation F1. That cut landed at 0.957.</w:t>
      </w:r>
    </w:p>
    <w:p>
      <w:pPr>
        <w:pStyle w:val="Heading2"/>
        <w:spacing w:after="120" w:before="280"/>
      </w:pPr>
      <w:r>
        <w:rPr>
          <w:rFonts w:ascii="Arial" w:cs="Arial" w:eastAsia="Arial" w:hAnsi="Arial"/>
          <w:b/>
          <w:bCs/>
          <w:color w:val="1F4E79"/>
          <w:sz w:val="26"/>
          <w:szCs w:val="26"/>
        </w:rPr>
        <w:t xml:space="preserve">2.2  Why compatibility was the weak spot</w:t>
      </w:r>
    </w:p>
    <w:p>
      <w:pPr>
        <w:spacing w:after="80" w:before="80" w:line="276"/>
      </w:pPr>
      <w:r>
        <w:rPr>
          <w:rFonts w:ascii="Arial" w:cs="Arial" w:eastAsia="Arial" w:hAnsi="Arial"/>
          <w:b w:val="false"/>
          <w:bCs w:val="false"/>
          <w:i w:val="false"/>
          <w:iCs w:val="false"/>
          <w:color w:val="222222"/>
          <w:sz w:val="22"/>
          <w:szCs w:val="22"/>
        </w:rPr>
        <w:t xml:space="preserve">Two separate knobs were both saying “pay more attention to incompatibles.” The sampler showed those rows more often. The loss also fined mistakes on them more heavily. The network learned a safe habit: when unsure, say incompatible.</w:t>
      </w:r>
    </w:p>
    <w:p>
      <w:pPr>
        <w:spacing w:after="80" w:before="80" w:line="276"/>
      </w:pPr>
      <w:r>
        <w:rPr>
          <w:rFonts w:ascii="Arial" w:cs="Arial" w:eastAsia="Arial" w:hAnsi="Arial"/>
          <w:b w:val="false"/>
          <w:bCs w:val="false"/>
          <w:i w:val="false"/>
          <w:iCs w:val="false"/>
          <w:color w:val="222222"/>
          <w:sz w:val="22"/>
          <w:szCs w:val="22"/>
        </w:rPr>
        <w:t xml:space="preserve">On the official 672-pair test that produced 56 false alarms on compatible pairs. The only way the numbers looked acceptable was the extreme 0.957 threshold — which is another way of saying “almost never fire.” That hides the problem instead of fixing it.</w:t>
      </w:r>
    </w:p>
    <w:p>
      <w:pPr>
        <w:pStyle w:val="Heading1"/>
        <w:pBdr>
          <w:bottom w:val="single" w:color="1F4E79" w:sz="12" w:space="4"/>
        </w:pBdr>
        <w:spacing w:after="160" w:before="360"/>
      </w:pPr>
      <w:r>
        <w:rPr>
          <w:rFonts w:ascii="Arial" w:cs="Arial" w:eastAsia="Arial" w:hAnsi="Arial"/>
          <w:b/>
          <w:bCs/>
          <w:color w:val="1F4E79"/>
          <w:sz w:val="32"/>
          <w:szCs w:val="32"/>
        </w:rPr>
        <w:t xml:space="preserve">3.  What was kept, removed, and added</w:t>
      </w:r>
    </w:p>
    <w:p>
      <w:pPr>
        <w:spacing w:after="40" w:before="160"/>
        <w:jc w:val="center"/>
      </w:pPr>
      <w:r>
        <w:drawing>
          <wp:inline distT="0" distB="0" distL="0" distR="0">
            <wp:extent cx="5905500" cy="3429000"/>
            <wp:effectExtent t="0" r="0" b="0" l="0"/>
            <wp:docPr id="1" name="fig4_comparison.png"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spacing w:after="200" w:before="60"/>
        <w:jc w:val="center"/>
      </w:pPr>
      <w:r>
        <w:rPr>
          <w:rFonts w:ascii="Arial" w:cs="Arial" w:eastAsia="Arial" w:hAnsi="Arial"/>
          <w:i/>
          <w:iCs/>
          <w:color w:val="34495E"/>
          <w:sz w:val="18"/>
          <w:szCs w:val="18"/>
        </w:rPr>
        <w:t xml:space="preserve">Figure 1. Side-by-side of PARDHU's model and Gated Bilinear PairNet.</w:t>
      </w:r>
    </w:p>
    <w:p>
      <w:pPr>
        <w:pStyle w:val="Heading2"/>
        <w:spacing w:after="120" w:before="280"/>
      </w:pPr>
      <w:r>
        <w:rPr>
          <w:rFonts w:ascii="Arial" w:cs="Arial" w:eastAsia="Arial" w:hAnsi="Arial"/>
          <w:b/>
          <w:bCs/>
          <w:color w:val="1F4E79"/>
          <w:sz w:val="26"/>
          <w:szCs w:val="26"/>
        </w:rPr>
        <w:t xml:space="preserve">3.1  Kept from PARDHU's model</w:t>
      </w:r>
    </w:p>
    <w:p>
      <w:pPr>
        <w:spacing w:after="80" w:before="80" w:line="276"/>
      </w:pPr>
      <w:r>
        <w:rPr>
          <w:rFonts w:ascii="Arial" w:cs="Arial" w:eastAsia="Arial" w:hAnsi="Arial"/>
          <w:b w:val="false"/>
          <w:bCs w:val="false"/>
          <w:i w:val="false"/>
          <w:iCs w:val="false"/>
          <w:color w:val="222222"/>
          <w:sz w:val="22"/>
          <w:szCs w:val="22"/>
        </w:rPr>
        <w:t xml:space="preserve">These pieces already worked. We did not throw them away.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Kept</w:t>
            </w:r>
          </w:p>
        </w:tc>
        <w:tc>
          <w:tcPr>
            <w:tcW w:type="dxa" w:w="3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In simple terms</w:t>
            </w:r>
          </w:p>
        </w:tc>
        <w:tc>
          <w:tcPr>
            <w:tcW w:type="dxa" w:w="40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Why we kept it</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Same CSVs and cluster split</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Same train / val / test files</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Fair comparison. APIs in test are unseen.</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Same task</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Two SMILES in, 0 or 1 out</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That is the product.</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MACCS keys</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 checklist of functional groups</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Cheap, stable, already in PARDHU's pipeline.</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Size / polarity descriptors</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MolWt, logP, TPSA, donors, rings…</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They describe bulk properties the fingerprints miss.</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Concat + product + |diff|</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Stick together, multiply, subtract</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 standard way to let two vectors talk.</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AdamW + val PR-AUC early stop</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Same optimiser and stopping rule</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Not the thing that was broken.</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pos_weight = n_neg / n_pos</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Rare class still costs more in the loss</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One reminder is enough. Two was too many.</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Class-rate idea</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PARDHU put the rate in the last-layer bias</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We kept the idea and made it a learned residual.</w:t>
            </w:r>
          </w:p>
        </w:tc>
      </w:tr>
    </w:tbl>
    <w:p>
      <w:pPr>
        <w:spacing w:after="200" w:before="60"/>
        <w:jc w:val="center"/>
      </w:pPr>
      <w:r>
        <w:rPr>
          <w:rFonts w:ascii="Arial" w:cs="Arial" w:eastAsia="Arial" w:hAnsi="Arial"/>
          <w:i/>
          <w:iCs/>
          <w:color w:val="34495E"/>
          <w:sz w:val="18"/>
          <w:szCs w:val="18"/>
        </w:rPr>
        <w:t xml:space="preserve">Table 2. What Gated Bilinear PairNet inherited from PARDHU's model.</w:t>
      </w:r>
    </w:p>
    <w:p>
      <w:pPr>
        <w:pStyle w:val="Heading2"/>
        <w:spacing w:after="120" w:before="280"/>
      </w:pPr>
      <w:r>
        <w:rPr>
          <w:rFonts w:ascii="Arial" w:cs="Arial" w:eastAsia="Arial" w:hAnsi="Arial"/>
          <w:b/>
          <w:bCs/>
          <w:color w:val="1F4E79"/>
          <w:sz w:val="26"/>
          <w:szCs w:val="26"/>
        </w:rPr>
        <w:t xml:space="preserve">3.2  Removed from PARDHU's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Removed</w:t>
            </w:r>
          </w:p>
        </w:tc>
        <w:tc>
          <w:tcPr>
            <w:tcW w:type="dxa" w:w="3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In simple terms</w:t>
            </w:r>
          </w:p>
        </w:tc>
        <w:tc>
          <w:tcPr>
            <w:tcW w:type="dxa" w:w="40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Why it came out</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WeightedRandomSampler</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Incompatibles were drawn more often AND fined more</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Double-counting made the net cry wolf. 56 test FPs.</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Threshold 0.957 from val F1</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F1 on a 9% class loves a very high cut</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Accuracy on class 0 then looks good only because almost nothing fires.</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fr_* fragment counts</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How many amines, esters, phenols… as raw numbers</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Replaced by clear yes/no chemistry flags the gate can use.</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One flat 609-d pair head</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Both molecules smashed into one vector</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No place to say “this excipient is usually hot.”</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Bias-only use of the class rate</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 single number baked into the last layer</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Too weak. The rate should depend on WHICH excipient.</w:t>
            </w:r>
          </w:p>
        </w:tc>
      </w:tr>
    </w:tbl>
    <w:p>
      <w:pPr>
        <w:spacing w:after="200" w:before="60"/>
        <w:jc w:val="center"/>
      </w:pPr>
      <w:r>
        <w:rPr>
          <w:rFonts w:ascii="Arial" w:cs="Arial" w:eastAsia="Arial" w:hAnsi="Arial"/>
          <w:i/>
          <w:iCs/>
          <w:color w:val="34495E"/>
          <w:sz w:val="18"/>
          <w:szCs w:val="18"/>
        </w:rPr>
        <w:t xml:space="preserve">Table 3. What we took out of PARDHU's model, and why.</w:t>
      </w:r>
    </w:p>
    <w:p>
      <w:pPr>
        <w:pStyle w:val="Heading2"/>
        <w:spacing w:after="120" w:before="280"/>
      </w:pPr>
      <w:r>
        <w:rPr>
          <w:rFonts w:ascii="Arial" w:cs="Arial" w:eastAsia="Arial" w:hAnsi="Arial"/>
          <w:b/>
          <w:bCs/>
          <w:color w:val="1F4E79"/>
          <w:sz w:val="26"/>
          <w:szCs w:val="26"/>
        </w:rPr>
        <w:t xml:space="preserve">3.3  Added — this is the new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Added</w:t>
            </w:r>
          </w:p>
        </w:tc>
        <w:tc>
          <w:tcPr>
            <w:tcW w:type="dxa" w:w="3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In simple terms</w:t>
            </w:r>
          </w:p>
        </w:tc>
        <w:tc>
          <w:tcPr>
            <w:tcW w:type="dxa" w:w="40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Intuition</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Morgan-512, radius 2</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 second fingerprint of local atom rings</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MACCS alone is too coarse for pair chemistry.</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Salt fragment-OR</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Split on “.” and keep every piece</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Mg2+, Al3+, ClF3 must not vanish inside a salt string.</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18 chemistry flags</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Metal? Oxidizer? Amine? Phenol?</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These are the actual incompatibility mechanisms.</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Dual towers, not tied</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API and excipient get their own reader</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 drug and a filler are not the same kind of molecule.</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Rank-16 bilinear</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 cheap “does A react with B?” term</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Amine × sugar is an interaction, not a sum.</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Gate on prior + flags</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 dimmer knob for the bilinear term</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Lactose opens it. Talc shuts it.</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Residual prior logit</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Start from the excipient's historical rate</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Then let the pair evidence push the score up or down.</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Asymmetric focal loss</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Confident false alarms cost extra</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This is how compatibility is protected during training.</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Default cut t = 0.82</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Val MCC, with a TNR floor</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Optional screen cut t = 0.60 when recall matters more.</w:t>
            </w:r>
          </w:p>
        </w:tc>
      </w:tr>
    </w:tbl>
    <w:p>
      <w:pPr>
        <w:spacing w:after="200" w:before="60"/>
        <w:jc w:val="center"/>
      </w:pPr>
      <w:r>
        <w:rPr>
          <w:rFonts w:ascii="Arial" w:cs="Arial" w:eastAsia="Arial" w:hAnsi="Arial"/>
          <w:i/>
          <w:iCs/>
          <w:color w:val="34495E"/>
          <w:sz w:val="18"/>
          <w:szCs w:val="18"/>
        </w:rPr>
        <w:t xml:space="preserve">Table 4. What is new. No Mol2vec, no SMOTE, no XGBoost / RF / AdaBoost stack.</w:t>
      </w:r>
    </w:p>
    <w:p>
      <w:pPr>
        <w:pStyle w:val="Heading1"/>
        <w:pBdr>
          <w:bottom w:val="single" w:color="1F4E79" w:sz="12" w:space="4"/>
        </w:pBdr>
        <w:spacing w:after="160" w:before="360"/>
      </w:pPr>
      <w:r>
        <w:rPr>
          <w:rFonts w:ascii="Arial" w:cs="Arial" w:eastAsia="Arial" w:hAnsi="Arial"/>
          <w:b/>
          <w:bCs/>
          <w:color w:val="1F4E79"/>
          <w:sz w:val="32"/>
          <w:szCs w:val="32"/>
        </w:rPr>
        <w:t xml:space="preserve">4.  Architecture of Gated Bilinear PairNet</w:t>
      </w:r>
    </w:p>
    <w:p>
      <w:pPr>
        <w:spacing w:after="40" w:before="160"/>
        <w:jc w:val="center"/>
      </w:pPr>
      <w:r>
        <w:drawing>
          <wp:inline distT="0" distB="0" distL="0" distR="0">
            <wp:extent cx="5905500" cy="3648075"/>
            <wp:effectExtent t="0" r="0" b="0" l="0"/>
            <wp:docPr id="1" name="fig1_end_to_end.png"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48075"/>
                    </a:xfrm>
                    <a:prstGeom prst="rect">
                      <a:avLst/>
                    </a:prstGeom>
                  </pic:spPr>
                </pic:pic>
              </a:graphicData>
            </a:graphic>
          </wp:inline>
        </w:drawing>
      </w:r>
    </w:p>
    <w:p>
      <w:pPr>
        <w:spacing w:after="200" w:before="60"/>
        <w:jc w:val="center"/>
      </w:pPr>
      <w:r>
        <w:rPr>
          <w:rFonts w:ascii="Arial" w:cs="Arial" w:eastAsia="Arial" w:hAnsi="Arial"/>
          <w:i/>
          <w:iCs/>
          <w:color w:val="34495E"/>
          <w:sz w:val="18"/>
          <w:szCs w:val="18"/>
        </w:rPr>
        <w:t xml:space="preserve">Figure 2. End-to-end data flow.</w:t>
      </w:r>
    </w:p>
    <w:p>
      <w:pPr>
        <w:pStyle w:val="Heading2"/>
        <w:spacing w:after="120" w:before="280"/>
      </w:pPr>
      <w:r>
        <w:rPr>
          <w:rFonts w:ascii="Arial" w:cs="Arial" w:eastAsia="Arial" w:hAnsi="Arial"/>
          <w:b/>
          <w:bCs/>
          <w:color w:val="1F4E79"/>
          <w:sz w:val="26"/>
          <w:szCs w:val="26"/>
        </w:rPr>
        <w:t xml:space="preserve">4.1  Step 1 — turn each SMILES into numbers</w:t>
      </w:r>
    </w:p>
    <w:p>
      <w:pPr>
        <w:spacing w:after="80" w:before="80" w:line="276"/>
      </w:pPr>
      <w:r>
        <w:rPr>
          <w:rFonts w:ascii="Arial" w:cs="Arial" w:eastAsia="Arial" w:hAnsi="Arial"/>
          <w:b w:val="false"/>
          <w:bCs w:val="false"/>
          <w:i w:val="false"/>
          <w:iCs w:val="false"/>
          <w:color w:val="222222"/>
          <w:sz w:val="22"/>
          <w:szCs w:val="22"/>
        </w:rPr>
        <w:t xml:space="preserve">Each molecule is parsed with RDKit. If the string contains a dot (a salt), every fragment is fingerprinted and the bits are OR-ed. That is how an inorganic cation stays visible.</w:t>
      </w:r>
    </w:p>
    <w:p>
      <w:pPr>
        <w:spacing w:after="80" w:before="80" w:line="276"/>
      </w:pPr>
      <w:r>
        <w:rPr>
          <w:rFonts w:ascii="Arial" w:cs="Arial" w:eastAsia="Arial" w:hAnsi="Arial"/>
          <w:b w:val="false"/>
          <w:bCs w:val="false"/>
          <w:i w:val="false"/>
          <w:iCs w:val="false"/>
          <w:color w:val="222222"/>
          <w:sz w:val="22"/>
          <w:szCs w:val="22"/>
        </w:rPr>
        <w:t xml:space="preserve">Four blocks come out of each SMILES: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rPr>
          <w:tblHeader/>
        </w:trPr>
        <w:tc>
          <w:tcPr>
            <w:tcW w:type="dxa" w:w="24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Block</w:t>
            </w:r>
          </w:p>
        </w:tc>
        <w:tc>
          <w:tcPr>
            <w:tcW w:type="dxa" w:w="1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Size</w:t>
            </w:r>
          </w:p>
        </w:tc>
        <w:tc>
          <w:tcPr>
            <w:tcW w:type="dxa" w:w="60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What it is, in one line</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MACCS keys</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167 bits</w:t>
            </w:r>
          </w:p>
        </w:tc>
        <w:tc>
          <w:tcPr>
            <w:tcW w:type="dxa" w:w="6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Which functional groups and ring patterns are present.</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Morgan fingerprint</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512 bits</w:t>
            </w:r>
          </w:p>
        </w:tc>
        <w:tc>
          <w:tcPr>
            <w:tcW w:type="dxa" w:w="6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Local circular neighborhoods, radius 2.</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RDKit descriptors</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12 numbers</w:t>
            </w:r>
          </w:p>
        </w:tc>
        <w:tc>
          <w:tcPr>
            <w:tcW w:type="dxa" w:w="6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MolWt, MolLogP, TPSA, donors, acceptors, rotatable bonds, aromatic rings, ring count, FractionCSP3, heavy atoms, heteroatoms, QED. Z-scored on train only.</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Chemistry flags</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18 yes/no</w:t>
            </w:r>
          </w:p>
        </w:tc>
        <w:tc>
          <w:tcPr>
            <w:tcW w:type="dxa" w:w="6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No carbons, oxidizer, strong acid/base, metal, Mg, Ca, Al, Si, Ti/Fe, Mn/Cr, is a salt, very short string, many –OH, amine, carboxylic acid, ester, phenol.</w:t>
            </w:r>
          </w:p>
        </w:tc>
      </w:tr>
    </w:tbl>
    <w:p>
      <w:pPr>
        <w:spacing w:after="200" w:before="60"/>
        <w:jc w:val="center"/>
      </w:pPr>
      <w:r>
        <w:rPr>
          <w:rFonts w:ascii="Arial" w:cs="Arial" w:eastAsia="Arial" w:hAnsi="Arial"/>
          <w:i/>
          <w:iCs/>
          <w:color w:val="34495E"/>
          <w:sz w:val="18"/>
          <w:szCs w:val="18"/>
        </w:rPr>
        <w:t xml:space="preserve">Table 5. The four feature blocks per molecule.</w:t>
      </w:r>
    </w:p>
    <w:p>
      <w:pPr>
        <w:pStyle w:val="Heading2"/>
        <w:spacing w:after="120" w:before="280"/>
      </w:pPr>
      <w:r>
        <w:rPr>
          <w:rFonts w:ascii="Arial" w:cs="Arial" w:eastAsia="Arial" w:hAnsi="Arial"/>
          <w:b/>
          <w:bCs/>
          <w:color w:val="1F4E79"/>
          <w:sz w:val="26"/>
          <w:szCs w:val="26"/>
        </w:rPr>
        <w:t xml:space="preserve">4.2  Step 2 — the excipient prior (the historical rate)</w:t>
      </w:r>
    </w:p>
    <w:p>
      <w:pPr>
        <w:spacing w:after="80" w:before="80" w:line="276"/>
      </w:pPr>
      <w:r>
        <w:rPr>
          <w:rFonts w:ascii="Arial" w:cs="Arial" w:eastAsia="Arial" w:hAnsi="Arial"/>
          <w:b w:val="false"/>
          <w:bCs w:val="false"/>
          <w:i w:val="false"/>
          <w:iCs w:val="false"/>
          <w:color w:val="222222"/>
          <w:sz w:val="22"/>
          <w:szCs w:val="22"/>
        </w:rPr>
        <w:t xml:space="preserve">Before looking at the pair, we ask a simple question PARDHU's model never asked: “in training, how often was THIS excipient incompatible with anything?”</w:t>
      </w:r>
    </w:p>
    <w:p>
      <w:pPr>
        <w:spacing w:after="80" w:before="80" w:line="276"/>
      </w:pPr>
      <w:r>
        <w:rPr>
          <w:rFonts w:ascii="Arial" w:cs="Arial" w:eastAsia="Arial" w:hAnsi="Arial"/>
          <w:b w:val="false"/>
          <w:bCs w:val="false"/>
          <w:i w:val="false"/>
          <w:iCs w:val="false"/>
          <w:color w:val="222222"/>
          <w:sz w:val="22"/>
          <w:szCs w:val="22"/>
        </w:rPr>
        <w:t xml:space="preserve">Computed on train only, keyed by canonical SMILES, Laplace-smoothed with alpha = 4:</w:t>
      </w:r>
    </w:p>
    <w:p>
      <w:pPr>
        <w:spacing w:after="120" w:before="120" w:line="276"/>
      </w:pPr>
      <w:r>
        <w:rPr>
          <w:rFonts w:ascii="Arial" w:cs="Arial" w:eastAsia="Arial" w:hAnsi="Arial"/>
          <w:b w:val="false"/>
          <w:bCs w:val="false"/>
          <w:i/>
          <w:iCs/>
          <w:color w:val="1F4E79"/>
          <w:sz w:val="22"/>
          <w:szCs w:val="22"/>
        </w:rPr>
        <w:t xml:space="preserve">P(incompatible | this excipient)  =  (positives with this excipient + 4 × 0.094)  /  (times this excipient appeared + 4).</w:t>
      </w:r>
    </w:p>
    <w:p>
      <w:pPr>
        <w:spacing w:after="80" w:before="80" w:line="276"/>
      </w:pPr>
      <w:r>
        <w:rPr>
          <w:rFonts w:ascii="Arial" w:cs="Arial" w:eastAsia="Arial" w:hAnsi="Arial"/>
          <w:b w:val="false"/>
          <w:bCs w:val="false"/>
          <w:i w:val="false"/>
          <w:iCs w:val="false"/>
          <w:color w:val="222222"/>
          <w:sz w:val="22"/>
          <w:szCs w:val="22"/>
        </w:rPr>
        <w:t xml:space="preserve">If the excipient was never seen in train, the prior falls back to the global rate 0.094. We also store prior_delta = prior − 0.094, which is “how unusual is this excipient.”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4280"/>
      </w:tblGrid>
      <w:tr>
        <w:trPr>
          <w:tblHeader/>
        </w:trPr>
        <w:tc>
          <w:tcPr>
            <w:tcW w:type="dxa" w:w="42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Excipient (examples from train)</w:t>
            </w:r>
          </w:p>
        </w:tc>
        <w:tc>
          <w:tcPr>
            <w:tcW w:type="dxa" w:w="1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Prior</w:t>
            </w:r>
          </w:p>
        </w:tc>
        <w:tc>
          <w:tcPr>
            <w:tcW w:type="dxa" w:w="42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Reading</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Calcium sulfate</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~0.49</w:t>
            </w:r>
          </w:p>
        </w:tc>
        <w:tc>
          <w:tcPr>
            <w:tcW w:type="dxa" w:w="4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Hot. Start suspicious.</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Magnesium oxide</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~0.34</w:t>
            </w:r>
          </w:p>
        </w:tc>
        <w:tc>
          <w:tcPr>
            <w:tcW w:type="dxa" w:w="4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Hot.</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Lactose, anhydrous</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~0.26</w:t>
            </w:r>
          </w:p>
        </w:tc>
        <w:tc>
          <w:tcPr>
            <w:tcW w:type="dxa" w:w="4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Known Maillard partner. Start higher.</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Magnesium carbonate</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~0.20</w:t>
            </w:r>
          </w:p>
        </w:tc>
        <w:tc>
          <w:tcPr>
            <w:tcW w:type="dxa" w:w="4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Mildly hot.</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Magnesium stearate</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~0.12</w:t>
            </w:r>
          </w:p>
        </w:tc>
        <w:tc>
          <w:tcPr>
            <w:tcW w:type="dxa" w:w="4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Near the average.</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Global / unseen polymer</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0.094</w:t>
            </w:r>
          </w:p>
        </w:tc>
        <w:tc>
          <w:tcPr>
            <w:tcW w:type="dxa" w:w="4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We do not know. Do not pretend we do.</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Mannitol</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~0.04</w:t>
            </w:r>
          </w:p>
        </w:tc>
        <w:tc>
          <w:tcPr>
            <w:tcW w:type="dxa" w:w="4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Almost always fine in this data.</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Sucrose / SiO2 / TiO2 / triacetin</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~0.00–0.02</w:t>
            </w:r>
          </w:p>
        </w:tc>
        <w:tc>
          <w:tcPr>
            <w:tcW w:type="dxa" w:w="4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Inert filler. Start very low.</w:t>
            </w:r>
          </w:p>
        </w:tc>
      </w:tr>
    </w:tbl>
    <w:p>
      <w:pPr>
        <w:spacing w:after="200" w:before="60"/>
        <w:jc w:val="center"/>
      </w:pPr>
      <w:r>
        <w:rPr>
          <w:rFonts w:ascii="Arial" w:cs="Arial" w:eastAsia="Arial" w:hAnsi="Arial"/>
          <w:i/>
          <w:iCs/>
          <w:color w:val="34495E"/>
          <w:sz w:val="18"/>
          <w:szCs w:val="18"/>
        </w:rPr>
        <w:t xml:space="preserve">Table 6. Train-only excipient priors. These are not the answer — they are the starting guess.</w:t>
      </w:r>
    </w:p>
    <w:p>
      <w:pPr>
        <w:pStyle w:val="Heading2"/>
        <w:spacing w:after="120" w:before="280"/>
      </w:pPr>
      <w:r>
        <w:rPr>
          <w:rFonts w:ascii="Arial" w:cs="Arial" w:eastAsia="Arial" w:hAnsi="Arial"/>
          <w:b/>
          <w:bCs/>
          <w:color w:val="1F4E79"/>
          <w:sz w:val="26"/>
          <w:szCs w:val="26"/>
        </w:rPr>
        <w:t xml:space="preserve">4.3  Step 3 — two towers, not one mashed vector</w:t>
      </w:r>
    </w:p>
    <w:p>
      <w:pPr>
        <w:spacing w:after="40" w:before="160"/>
        <w:jc w:val="center"/>
      </w:pPr>
      <w:r>
        <w:drawing>
          <wp:inline distT="0" distB="0" distL="0" distR="0">
            <wp:extent cx="5905500" cy="2971800"/>
            <wp:effectExtent t="0" r="0" b="0" l="0"/>
            <wp:docPr id="1" name="fig2_tower.png"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71800"/>
                    </a:xfrm>
                    <a:prstGeom prst="rect">
                      <a:avLst/>
                    </a:prstGeom>
                  </pic:spPr>
                </pic:pic>
              </a:graphicData>
            </a:graphic>
          </wp:inline>
        </w:drawing>
      </w:r>
    </w:p>
    <w:p>
      <w:pPr>
        <w:spacing w:after="200" w:before="60"/>
        <w:jc w:val="center"/>
      </w:pPr>
      <w:r>
        <w:rPr>
          <w:rFonts w:ascii="Arial" w:cs="Arial" w:eastAsia="Arial" w:hAnsi="Arial"/>
          <w:i/>
          <w:iCs/>
          <w:color w:val="34495E"/>
          <w:sz w:val="18"/>
          <w:szCs w:val="18"/>
        </w:rPr>
        <w:t xml:space="preserve">Figure 3. One molecule tower. The API tower and the excipient tower have the same shape but their own weights.</w:t>
      </w:r>
    </w:p>
    <w:p>
      <w:pPr>
        <w:spacing w:after="80" w:before="80" w:line="276"/>
      </w:pPr>
      <w:r>
        <w:rPr>
          <w:rFonts w:ascii="Arial" w:cs="Arial" w:eastAsia="Arial" w:hAnsi="Arial"/>
          <w:b w:val="false"/>
          <w:bCs w:val="false"/>
          <w:i w:val="false"/>
          <w:iCs w:val="false"/>
          <w:color w:val="222222"/>
          <w:sz w:val="22"/>
          <w:szCs w:val="22"/>
        </w:rPr>
        <w:t xml:space="preserve">Each modality is projected separately, then mixed:</w:t>
      </w:r>
    </w:p>
    <w:p>
      <w:pPr>
        <w:pStyle w:val="ListParagraph"/>
        <w:numPr>
          <w:ilvl w:val="0"/>
          <w:numId w:val="2"/>
        </w:numPr>
        <w:spacing w:after="40" w:before="40" w:line="260"/>
      </w:pPr>
      <w:r>
        <w:rPr>
          <w:rFonts w:ascii="Arial" w:cs="Arial" w:eastAsia="Arial" w:hAnsi="Arial"/>
          <w:color w:val="222222"/>
          <w:sz w:val="22"/>
          <w:szCs w:val="22"/>
        </w:rPr>
        <w:t xml:space="preserve">MACCS 167 → 64  (LayerNorm, GELU, dropout)</w:t>
      </w:r>
    </w:p>
    <w:p>
      <w:pPr>
        <w:pStyle w:val="ListParagraph"/>
        <w:numPr>
          <w:ilvl w:val="0"/>
          <w:numId w:val="2"/>
        </w:numPr>
        <w:spacing w:after="40" w:before="40" w:line="260"/>
      </w:pPr>
      <w:r>
        <w:rPr>
          <w:rFonts w:ascii="Arial" w:cs="Arial" w:eastAsia="Arial" w:hAnsi="Arial"/>
          <w:color w:val="222222"/>
          <w:sz w:val="22"/>
          <w:szCs w:val="22"/>
        </w:rPr>
        <w:t xml:space="preserve">Morgan 512 → 64  (LayerNorm, GELU, dropout)</w:t>
      </w:r>
    </w:p>
    <w:p>
      <w:pPr>
        <w:pStyle w:val="ListParagraph"/>
        <w:numPr>
          <w:ilvl w:val="0"/>
          <w:numId w:val="2"/>
        </w:numPr>
        <w:spacing w:after="40" w:before="40" w:line="260"/>
      </w:pPr>
      <w:r>
        <w:rPr>
          <w:rFonts w:ascii="Arial" w:cs="Arial" w:eastAsia="Arial" w:hAnsi="Arial"/>
          <w:color w:val="222222"/>
          <w:sz w:val="22"/>
          <w:szCs w:val="22"/>
        </w:rPr>
        <w:t xml:space="preserve">Descriptors 12 → 24  (LayerNorm, GELU)</w:t>
      </w:r>
    </w:p>
    <w:p>
      <w:pPr>
        <w:pStyle w:val="ListParagraph"/>
        <w:numPr>
          <w:ilvl w:val="0"/>
          <w:numId w:val="2"/>
        </w:numPr>
        <w:spacing w:after="40" w:before="40" w:line="260"/>
      </w:pPr>
      <w:r>
        <w:rPr>
          <w:rFonts w:ascii="Arial" w:cs="Arial" w:eastAsia="Arial" w:hAnsi="Arial"/>
          <w:color w:val="222222"/>
          <w:sz w:val="22"/>
          <w:szCs w:val="22"/>
        </w:rPr>
        <w:t xml:space="preserve">Flags 18 → 16  (GELU)</w:t>
      </w:r>
    </w:p>
    <w:p>
      <w:pPr>
        <w:spacing w:after="80" w:before="80" w:line="276"/>
      </w:pPr>
      <w:r>
        <w:rPr>
          <w:rFonts w:ascii="Arial" w:cs="Arial" w:eastAsia="Arial" w:hAnsi="Arial"/>
          <w:b w:val="false"/>
          <w:bCs w:val="false"/>
          <w:i w:val="false"/>
          <w:iCs w:val="false"/>
          <w:color w:val="222222"/>
          <w:sz w:val="22"/>
          <w:szCs w:val="22"/>
        </w:rPr>
        <w:t xml:space="preserve">Those 168 numbers go through one more linear layer into a 96-number embedding. Call them h_API and h_excipient. They are not weight-tied: the network can learn “this is what an amine looks like on a drug” independently of “this is what a reducing sugar looks like on a filler.”</w:t>
      </w:r>
    </w:p>
    <w:p>
      <w:pPr>
        <w:pStyle w:val="Heading2"/>
        <w:spacing w:after="120" w:before="280"/>
      </w:pPr>
      <w:r>
        <w:rPr>
          <w:rFonts w:ascii="Arial" w:cs="Arial" w:eastAsia="Arial" w:hAnsi="Arial"/>
          <w:b/>
          <w:bCs/>
          <w:color w:val="1F4E79"/>
          <w:sz w:val="26"/>
          <w:szCs w:val="26"/>
        </w:rPr>
        <w:t xml:space="preserve">4.4  Step 4 — the two vectors meet</w:t>
      </w:r>
    </w:p>
    <w:p>
      <w:pPr>
        <w:spacing w:after="40" w:before="160"/>
        <w:jc w:val="center"/>
      </w:pPr>
      <w:r>
        <w:drawing>
          <wp:inline distT="0" distB="0" distL="0" distR="0">
            <wp:extent cx="5905500" cy="3381375"/>
            <wp:effectExtent t="0" r="0" b="0" l="0"/>
            <wp:docPr id="1" name="fig3_gate_residual.png"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81375"/>
                    </a:xfrm>
                    <a:prstGeom prst="rect">
                      <a:avLst/>
                    </a:prstGeom>
                  </pic:spPr>
                </pic:pic>
              </a:graphicData>
            </a:graphic>
          </wp:inline>
        </w:drawing>
      </w:r>
    </w:p>
    <w:p>
      <w:pPr>
        <w:spacing w:after="200" w:before="60"/>
        <w:jc w:val="center"/>
      </w:pPr>
      <w:r>
        <w:rPr>
          <w:rFonts w:ascii="Arial" w:cs="Arial" w:eastAsia="Arial" w:hAnsi="Arial"/>
          <w:i/>
          <w:iCs/>
          <w:color w:val="34495E"/>
          <w:sz w:val="18"/>
          <w:szCs w:val="18"/>
        </w:rPr>
        <w:t xml:space="preserve">Figure 4. Interactions, gate, and the prior residual that produces the final logit.</w:t>
      </w:r>
    </w:p>
    <w:p>
      <w:pPr>
        <w:spacing w:after="80" w:before="80" w:line="276"/>
      </w:pPr>
      <w:r>
        <w:rPr>
          <w:rFonts w:ascii="Arial" w:cs="Arial" w:eastAsia="Arial" w:hAnsi="Arial"/>
          <w:b w:val="false"/>
          <w:bCs w:val="false"/>
          <w:i w:val="false"/>
          <w:iCs w:val="false"/>
          <w:color w:val="222222"/>
          <w:sz w:val="22"/>
          <w:szCs w:val="22"/>
        </w:rPr>
        <w:t xml:space="preserve">Three pair operators run in parallel. The first two are the ones PARDHU already used. The third is 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rPr>
          <w:tblHeader/>
        </w:trPr>
        <w:tc>
          <w:tcPr>
            <w:tcW w:type="dxa" w:w="24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Operator</w:t>
            </w:r>
          </w:p>
        </w:tc>
        <w:tc>
          <w:tcPr>
            <w:tcW w:type="dxa" w:w="3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Formula</w:t>
            </w:r>
          </w:p>
        </w:tc>
        <w:tc>
          <w:tcPr>
            <w:tcW w:type="dxa" w:w="46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Plain English</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Hadamard product</w:t>
            </w:r>
          </w:p>
        </w:tc>
        <w:tc>
          <w:tcPr>
            <w:tcW w:type="dxa" w:w="3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h_API  ⊙  h_exc</w:t>
            </w:r>
          </w:p>
        </w:tc>
        <w:tc>
          <w:tcPr>
            <w:tcW w:type="dxa" w:w="46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Which dimensions are “on” in both molecules at once.</w:t>
            </w:r>
          </w:p>
        </w:tc>
      </w:tr>
      <w:tr>
        <w:tc>
          <w:tcPr>
            <w:tcW w:type="dxa" w:w="2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Absolute difference</w:t>
            </w:r>
          </w:p>
        </w:tc>
        <w:tc>
          <w:tcPr>
            <w:tcW w:type="dxa" w:w="3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|h_API − h_exc|</w:t>
            </w:r>
          </w:p>
        </w:tc>
        <w:tc>
          <w:tcPr>
            <w:tcW w:type="dxa" w:w="46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How different the two molecules are, dimension by dimension.</w:t>
            </w:r>
          </w:p>
        </w:tc>
      </w:tr>
      <w:tr>
        <w:tc>
          <w:tcPr>
            <w:tcW w:type="dxa" w:w="2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Low-rank bilinear</w:t>
            </w:r>
          </w:p>
        </w:tc>
        <w:tc>
          <w:tcPr>
            <w:tcW w:type="dxa" w:w="3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(h_API U) ⊙ (h_exc V)</w:t>
            </w:r>
          </w:p>
        </w:tc>
        <w:tc>
          <w:tcPr>
            <w:tcW w:type="dxa" w:w="46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Does this API pattern interact with this excipient pattern? Rank 16 keeps it small.</w:t>
            </w:r>
          </w:p>
        </w:tc>
      </w:tr>
    </w:tbl>
    <w:p>
      <w:pPr>
        <w:spacing w:after="200" w:before="60"/>
        <w:jc w:val="center"/>
      </w:pPr>
      <w:r>
        <w:rPr>
          <w:rFonts w:ascii="Arial" w:cs="Arial" w:eastAsia="Arial" w:hAnsi="Arial"/>
          <w:i/>
          <w:iCs/>
          <w:color w:val="34495E"/>
          <w:sz w:val="18"/>
          <w:szCs w:val="18"/>
        </w:rPr>
        <w:t xml:space="preserve">Table 7. The three ways the two 96-d vectors talk.</w:t>
      </w:r>
    </w:p>
    <w:p>
      <w:pPr>
        <w:spacing w:after="80" w:before="80" w:line="276"/>
      </w:pPr>
      <w:r>
        <w:rPr>
          <w:rFonts w:ascii="Arial" w:cs="Arial" w:eastAsia="Arial" w:hAnsi="Arial"/>
          <w:b w:val="false"/>
          <w:bCs w:val="false"/>
          <w:i w:val="false"/>
          <w:iCs w:val="false"/>
          <w:color w:val="222222"/>
          <w:sz w:val="22"/>
          <w:szCs w:val="22"/>
        </w:rPr>
        <w:t xml:space="preserve">A full 96 × 96 interaction matrix would be 9,216 weights for one term. Rank 16 means we factor it into two thin maps. That is enough to encode “amine × reducing sugar” or “phenol × metal oxide” without eating the whole model.</w:t>
      </w:r>
    </w:p>
    <w:p>
      <w:pPr>
        <w:pStyle w:val="Heading2"/>
        <w:spacing w:after="120" w:before="280"/>
      </w:pPr>
      <w:r>
        <w:rPr>
          <w:rFonts w:ascii="Arial" w:cs="Arial" w:eastAsia="Arial" w:hAnsi="Arial"/>
          <w:b/>
          <w:bCs/>
          <w:color w:val="1F4E79"/>
          <w:sz w:val="26"/>
          <w:szCs w:val="26"/>
        </w:rPr>
        <w:t xml:space="preserve">4.5  Step 5 — the gate (why it is called Gated)</w:t>
      </w:r>
    </w:p>
    <w:p>
      <w:pPr>
        <w:spacing w:after="80" w:before="80" w:line="276"/>
      </w:pPr>
      <w:r>
        <w:rPr>
          <w:rFonts w:ascii="Arial" w:cs="Arial" w:eastAsia="Arial" w:hAnsi="Arial"/>
          <w:b w:val="false"/>
          <w:bCs w:val="false"/>
          <w:i w:val="false"/>
          <w:iCs w:val="false"/>
          <w:color w:val="222222"/>
          <w:sz w:val="22"/>
          <w:szCs w:val="22"/>
        </w:rPr>
        <w:t xml:space="preserve">Not every bilinear signal should be trusted. A Morgan bit collision on talc should not flip a marketed tablet to “incompatible.” The gate is a dimmer knob:</w:t>
      </w:r>
    </w:p>
    <w:p>
      <w:pPr>
        <w:spacing w:after="120" w:before="120" w:line="276"/>
      </w:pPr>
      <w:r>
        <w:rPr>
          <w:rFonts w:ascii="Arial" w:cs="Arial" w:eastAsia="Arial" w:hAnsi="Arial"/>
          <w:b w:val="false"/>
          <w:bCs w:val="false"/>
          <w:i/>
          <w:iCs/>
          <w:color w:val="1F4E79"/>
          <w:sz w:val="22"/>
          <w:szCs w:val="22"/>
        </w:rPr>
        <w:t xml:space="preserve">gate  =  sigmoid( small MLP of  [prior,  prior_delta,  excipient flags] ).</w:t>
      </w:r>
    </w:p>
    <w:p>
      <w:pPr>
        <w:spacing w:after="80" w:before="80" w:line="276"/>
      </w:pPr>
      <w:r>
        <w:rPr>
          <w:rFonts w:ascii="Arial" w:cs="Arial" w:eastAsia="Arial" w:hAnsi="Arial"/>
          <w:b w:val="false"/>
          <w:bCs w:val="false"/>
          <w:i w:val="false"/>
          <w:iCs w:val="false"/>
          <w:color w:val="222222"/>
          <w:sz w:val="22"/>
          <w:szCs w:val="22"/>
        </w:rPr>
        <w:t xml:space="preserve">gated bilinear  =  bilinear  ×  gate.  If the gate is near 0 the bilinear term is ignored. If it is near 1 the bilinear term is used at full strength.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4080"/>
      </w:tblGrid>
      <w:tr>
        <w:trPr>
          <w:tblHeader/>
        </w:trPr>
        <w:tc>
          <w:tcPr>
            <w:tcW w:type="dxa" w:w="2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Situation</w:t>
            </w:r>
          </w:p>
        </w:tc>
        <w:tc>
          <w:tcPr>
            <w:tcW w:type="dxa" w:w="14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Prior</w:t>
            </w:r>
          </w:p>
        </w:tc>
        <w:tc>
          <w:tcPr>
            <w:tcW w:type="dxa" w:w="1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Gate tends to</w:t>
            </w:r>
          </w:p>
        </w:tc>
        <w:tc>
          <w:tcPr>
            <w:tcW w:type="dxa" w:w="40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What happens</w:t>
            </w:r>
          </w:p>
        </w:tc>
      </w:tr>
      <w:tr>
        <w:tc>
          <w:tcPr>
            <w:tcW w:type="dxa" w:w="2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Fluvoxamine × lactose</w:t>
            </w:r>
          </w:p>
        </w:tc>
        <w:tc>
          <w:tcPr>
            <w:tcW w:type="dxa" w:w="1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0.26</w:t>
            </w:r>
          </w:p>
        </w:tc>
        <w:tc>
          <w:tcPr>
            <w:tcW w:type="dxa" w:w="1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Open</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Bilinear can fire on the Maillard-like pattern.</w:t>
            </w:r>
          </w:p>
        </w:tc>
      </w:tr>
      <w:tr>
        <w:tc>
          <w:tcPr>
            <w:tcW w:type="dxa" w:w="2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Celecoxib × titanium dioxide</w:t>
            </w:r>
          </w:p>
        </w:tc>
        <w:tc>
          <w:tcPr>
            <w:tcW w:type="dxa" w:w="14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0.003</w:t>
            </w:r>
          </w:p>
        </w:tc>
        <w:tc>
          <w:tcPr>
            <w:tcW w:type="dxa" w:w="1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Shut</w:t>
            </w:r>
          </w:p>
        </w:tc>
        <w:tc>
          <w:tcPr>
            <w:tcW w:type="dxa" w:w="40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Pair MLP almost ignores bilinear. Score stays low.</w:t>
            </w:r>
          </w:p>
        </w:tc>
      </w:tr>
      <w:tr>
        <w:tc>
          <w:tcPr>
            <w:tcW w:type="dxa" w:w="2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Unseen HPMC polymer</w:t>
            </w:r>
          </w:p>
        </w:tc>
        <w:tc>
          <w:tcPr>
            <w:tcW w:type="dxa" w:w="14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0.094</w:t>
            </w:r>
          </w:p>
        </w:tc>
        <w:tc>
          <w:tcPr>
            <w:tcW w:type="dxa" w:w="1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Half-open</w:t>
            </w:r>
          </w:p>
        </w:tc>
        <w:tc>
          <w:tcPr>
            <w:tcW w:type="dxa" w:w="4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The model is under-informed. This is the 193-row failure mode.</w:t>
            </w:r>
          </w:p>
        </w:tc>
      </w:tr>
    </w:tbl>
    <w:p>
      <w:pPr>
        <w:spacing w:after="200" w:before="60"/>
        <w:jc w:val="center"/>
      </w:pPr>
      <w:r>
        <w:rPr>
          <w:rFonts w:ascii="Arial" w:cs="Arial" w:eastAsia="Arial" w:hAnsi="Arial"/>
          <w:i/>
          <w:iCs/>
          <w:color w:val="34495E"/>
          <w:sz w:val="18"/>
          <w:szCs w:val="18"/>
        </w:rPr>
        <w:t xml:space="preserve">Table 8. What the gate is for.</w:t>
      </w:r>
    </w:p>
    <w:p>
      <w:pPr>
        <w:pStyle w:val="Heading2"/>
        <w:spacing w:after="120" w:before="280"/>
      </w:pPr>
      <w:r>
        <w:rPr>
          <w:rFonts w:ascii="Arial" w:cs="Arial" w:eastAsia="Arial" w:hAnsi="Arial"/>
          <w:b/>
          <w:bCs/>
          <w:color w:val="1F4E79"/>
          <w:sz w:val="26"/>
          <w:szCs w:val="26"/>
        </w:rPr>
        <w:t xml:space="preserve">4.6  Step 6 — residual head and the final probability</w:t>
      </w:r>
    </w:p>
    <w:p>
      <w:pPr>
        <w:spacing w:after="80" w:before="80" w:line="276"/>
      </w:pPr>
      <w:r>
        <w:rPr>
          <w:rFonts w:ascii="Arial" w:cs="Arial" w:eastAsia="Arial" w:hAnsi="Arial"/>
          <w:b w:val="false"/>
          <w:bCs w:val="false"/>
          <w:i w:val="false"/>
          <w:iCs w:val="false"/>
          <w:color w:val="222222"/>
          <w:sz w:val="22"/>
          <w:szCs w:val="22"/>
        </w:rPr>
        <w:t xml:space="preserve">Everything is concatenated into one 418-number pair vector:</w:t>
      </w:r>
    </w:p>
    <w:p>
      <w:pPr>
        <w:spacing w:after="80" w:before="80" w:line="276"/>
      </w:pPr>
      <w:r>
        <w:rPr>
          <w:rFonts w:ascii="Arial" w:cs="Arial" w:eastAsia="Arial" w:hAnsi="Arial"/>
          <w:b w:val="false"/>
          <w:bCs w:val="false"/>
          <w:i/>
          <w:iCs/>
          <w:color w:val="1F4E79"/>
          <w:sz w:val="20"/>
          <w:szCs w:val="20"/>
        </w:rPr>
        <w:t xml:space="preserve">[ h_API (96) | h_exc (96) | product (96) | |diff| (96) | bilinear (16) | gated bilinear (16) | prior (1) | prior_delta (1) ]</w:t>
      </w:r>
    </w:p>
    <w:p>
      <w:pPr>
        <w:spacing w:after="80" w:before="80" w:line="276"/>
      </w:pPr>
      <w:r>
        <w:rPr>
          <w:rFonts w:ascii="Arial" w:cs="Arial" w:eastAsia="Arial" w:hAnsi="Arial"/>
          <w:b w:val="false"/>
          <w:bCs w:val="false"/>
          <w:i w:val="false"/>
          <w:iCs w:val="false"/>
          <w:color w:val="222222"/>
          <w:sz w:val="22"/>
          <w:szCs w:val="22"/>
        </w:rPr>
        <w:t xml:space="preserve">A three-layer MLP turns that into a single residual number:  418 → 128 GELU dropout → 48 GELU dropout → 1.</w:t>
      </w:r>
    </w:p>
    <w:p>
      <w:pPr>
        <w:spacing w:after="80" w:before="80" w:line="276"/>
      </w:pPr>
      <w:r>
        <w:rPr>
          <w:rFonts w:ascii="Arial" w:cs="Arial" w:eastAsia="Arial" w:hAnsi="Arial"/>
          <w:b w:val="false"/>
          <w:bCs w:val="false"/>
          <w:i w:val="false"/>
          <w:iCs w:val="false"/>
          <w:color w:val="222222"/>
          <w:sz w:val="22"/>
          <w:szCs w:val="22"/>
        </w:rPr>
        <w:t xml:space="preserve">The final score is not the residual alone. It starts from the excipient's historical log-odds and then adds the residual:</w:t>
      </w:r>
    </w:p>
    <w:p>
      <w:pPr>
        <w:spacing w:after="80" w:before="120" w:line="276"/>
      </w:pPr>
      <w:r>
        <w:rPr>
          <w:rFonts w:ascii="Arial" w:cs="Arial" w:eastAsia="Arial" w:hAnsi="Arial"/>
          <w:b w:val="false"/>
          <w:bCs w:val="false"/>
          <w:i/>
          <w:iCs/>
          <w:color w:val="1F4E79"/>
          <w:sz w:val="22"/>
          <w:szCs w:val="22"/>
        </w:rPr>
        <w:t xml:space="preserve">logit  =  residual  +  0.8 × log( prior / (1 − prior) )  +  bias</w:t>
      </w:r>
    </w:p>
    <w:p>
      <w:pPr>
        <w:spacing w:after="120" w:before="0" w:line="276"/>
      </w:pPr>
      <w:r>
        <w:rPr>
          <w:rFonts w:ascii="Arial" w:cs="Arial" w:eastAsia="Arial" w:hAnsi="Arial"/>
          <w:b w:val="false"/>
          <w:bCs w:val="false"/>
          <w:i/>
          <w:iCs/>
          <w:color w:val="1F4E79"/>
          <w:sz w:val="22"/>
          <w:szCs w:val="22"/>
        </w:rPr>
        <w:t xml:space="preserve">probability  =  1 / (1 + exp(−logit))</w:t>
      </w:r>
    </w:p>
    <w:p>
      <w:pPr>
        <w:spacing w:after="80" w:before="80" w:line="276"/>
      </w:pPr>
      <w:r>
        <w:rPr>
          <w:rFonts w:ascii="Arial" w:cs="Arial" w:eastAsia="Arial" w:hAnsi="Arial"/>
          <w:b w:val="false"/>
          <w:bCs w:val="false"/>
          <w:i w:val="false"/>
          <w:iCs w:val="false"/>
          <w:color w:val="222222"/>
          <w:sz w:val="22"/>
          <w:szCs w:val="22"/>
        </w:rPr>
        <w:t xml:space="preserve">The 0.8 is a learned scale (it starts at 0.8). If the pair looks ordinary, the historical rate decides. If the pair looks reactive, the residual can override the rate. That is the same instinct as PARDHU's last-layer bias, except the rate now depends on which excipient you actually have.</w:t>
      </w:r>
    </w:p>
    <w:p>
      <w:pPr>
        <w:spacing w:after="80" w:before="80" w:line="276"/>
      </w:pPr>
      <w:r>
        <w:rPr>
          <w:rFonts w:ascii="Arial" w:cs="Arial" w:eastAsia="Arial" w:hAnsi="Arial"/>
          <w:b w:val="false"/>
          <w:bCs w:val="false"/>
          <w:i w:val="false"/>
          <w:iCs w:val="false"/>
          <w:color w:val="222222"/>
          <w:sz w:val="22"/>
          <w:szCs w:val="22"/>
        </w:rPr>
        <w:t xml:space="preserve">The whole network has on the order of 185,000 trainable parameters.</w:t>
      </w:r>
    </w:p>
    <w:p>
      <w:pPr>
        <w:pStyle w:val="Heading2"/>
        <w:spacing w:after="120" w:before="280"/>
      </w:pPr>
      <w:r>
        <w:rPr>
          <w:rFonts w:ascii="Arial" w:cs="Arial" w:eastAsia="Arial" w:hAnsi="Arial"/>
          <w:b/>
          <w:bCs/>
          <w:color w:val="1F4E79"/>
          <w:sz w:val="26"/>
          <w:szCs w:val="26"/>
        </w:rPr>
        <w:t xml:space="preserve">4.7  How it is trained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Setting</w:t>
            </w:r>
          </w:p>
        </w:tc>
        <w:tc>
          <w:tcPr>
            <w:tcW w:type="dxa" w:w="3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Value</w:t>
            </w:r>
          </w:p>
        </w:tc>
        <w:tc>
          <w:tcPr>
            <w:tcW w:type="dxa" w:w="42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Why</w:t>
            </w:r>
          </w:p>
        </w:tc>
      </w:tr>
      <w:tr>
        <w:tc>
          <w:tcPr>
            <w:tcW w:type="dxa" w:w="2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Loss</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Asymmetric focal BCE</w:t>
            </w:r>
          </w:p>
        </w:tc>
        <w:tc>
          <w:tcPr>
            <w:tcW w:type="dxa" w:w="4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γ_pos = 1.2, γ_neg = 2.5. Confident false incompatibles cost more.</w:t>
            </w:r>
          </w:p>
        </w:tc>
      </w:tr>
      <w:tr>
        <w:tc>
          <w:tcPr>
            <w:tcW w:type="dxa" w:w="2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pos_weight</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n_neg / n_pos</w:t>
            </w:r>
          </w:p>
        </w:tc>
        <w:tc>
          <w:tcPr>
            <w:tcW w:type="dxa" w:w="4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One reminder that class 1 is rare. Not two.</w:t>
            </w:r>
          </w:p>
        </w:tc>
      </w:tr>
      <w:tr>
        <w:tc>
          <w:tcPr>
            <w:tcW w:type="dxa" w:w="2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Sampler</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None. Plain shuffle.</w:t>
            </w:r>
          </w:p>
        </w:tc>
        <w:tc>
          <w:tcPr>
            <w:tcW w:type="dxa" w:w="4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Removed PARDHU's WeightedRandomSampler.</w:t>
            </w:r>
          </w:p>
        </w:tc>
      </w:tr>
      <w:tr>
        <w:tc>
          <w:tcPr>
            <w:tcW w:type="dxa" w:w="2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Optimiser</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AdamW, lr 1.2e-3, wd 2e-3</w:t>
            </w:r>
          </w:p>
        </w:tc>
        <w:tc>
          <w:tcPr>
            <w:tcW w:type="dxa" w:w="4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Standard.</w:t>
            </w:r>
          </w:p>
        </w:tc>
      </w:tr>
      <w:tr>
        <w:tc>
          <w:tcPr>
            <w:tcW w:type="dxa" w:w="2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Batch</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64</w:t>
            </w:r>
          </w:p>
        </w:tc>
        <w:tc>
          <w:tcPr>
            <w:tcW w:type="dxa" w:w="4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w:t>
            </w:r>
          </w:p>
        </w:tc>
      </w:tr>
      <w:tr>
        <w:tc>
          <w:tcPr>
            <w:tcW w:type="dxa" w:w="2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Grad clip</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1.0</w:t>
            </w:r>
          </w:p>
        </w:tc>
        <w:tc>
          <w:tcPr>
            <w:tcW w:type="dxa" w:w="4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Stops one batch from blowing up the prior scale.</w:t>
            </w:r>
          </w:p>
        </w:tc>
      </w:tr>
      <w:tr>
        <w:tc>
          <w:tcPr>
            <w:tcW w:type="dxa" w:w="2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Scheduler</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ReduceLROnPlateau on val PR-AUC</w:t>
            </w:r>
          </w:p>
        </w:tc>
        <w:tc>
          <w:tcPr>
            <w:tcW w:type="dxa" w:w="4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Factor 0.5, patience 4.</w:t>
            </w:r>
          </w:p>
        </w:tc>
      </w:tr>
      <w:tr>
        <w:tc>
          <w:tcPr>
            <w:tcW w:type="dxa" w:w="2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Early stop</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7 epochs without +0.002 PR-AUC</w:t>
            </w:r>
          </w:p>
        </w:tc>
        <w:tc>
          <w:tcPr>
            <w:tcW w:type="dxa" w:w="4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Max 40 epochs.</w:t>
            </w:r>
          </w:p>
        </w:tc>
      </w:tr>
      <w:tr>
        <w:tc>
          <w:tcPr>
            <w:tcW w:type="dxa" w:w="2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Device / seed</w:t>
            </w:r>
          </w:p>
        </w:tc>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CPU, seed 42</w:t>
            </w:r>
          </w:p>
        </w:tc>
        <w:tc>
          <w:tcPr>
            <w:tcW w:type="dxa" w:w="4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Reproducible on the box we trained.</w:t>
            </w:r>
          </w:p>
        </w:tc>
      </w:tr>
      <w:tr>
        <w:tc>
          <w:tcPr>
            <w:tcW w:type="dxa" w:w="2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Shipped cut</w:t>
            </w:r>
          </w:p>
        </w:tc>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 = 0.82 from val MCC</w:t>
            </w:r>
          </w:p>
        </w:tc>
        <w:tc>
          <w:tcPr>
            <w:tcW w:type="dxa" w:w="4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Optional screen cut t = 0.60.</w:t>
            </w:r>
          </w:p>
        </w:tc>
      </w:tr>
    </w:tbl>
    <w:p>
      <w:pPr>
        <w:spacing w:after="200" w:before="60"/>
        <w:jc w:val="center"/>
      </w:pPr>
      <w:r>
        <w:rPr>
          <w:rFonts w:ascii="Arial" w:cs="Arial" w:eastAsia="Arial" w:hAnsi="Arial"/>
          <w:i/>
          <w:iCs/>
          <w:color w:val="34495E"/>
          <w:sz w:val="18"/>
          <w:szCs w:val="18"/>
        </w:rPr>
        <w:t xml:space="preserve">Table 9. Training recipe. Neural only — no trees, no SMOTE.</w:t>
      </w:r>
    </w:p>
    <w:p>
      <w:pPr>
        <w:spacing w:after="80" w:before="80" w:line="276"/>
      </w:pPr>
      <w:r>
        <w:rPr>
          <w:rFonts w:ascii="Arial" w:cs="Arial" w:eastAsia="Arial" w:hAnsi="Arial"/>
          <w:b w:val="false"/>
          <w:bCs w:val="false"/>
          <w:i w:val="false"/>
          <w:iCs w:val="false"/>
          <w:color w:val="222222"/>
          <w:sz w:val="22"/>
          <w:szCs w:val="22"/>
        </w:rPr>
        <w:t xml:space="preserve">Focal loss in one line: if the model is very sure a compatible pair is incompatible, it is fined extra. That is the training-time version of “protect compatibility.”</w:t>
      </w:r>
    </w:p>
    <w:p>
      <w:pPr>
        <w:pStyle w:val="Heading1"/>
        <w:pBdr>
          <w:bottom w:val="single" w:color="1F4E79" w:sz="12" w:space="4"/>
        </w:pBdr>
        <w:spacing w:after="160" w:before="360"/>
      </w:pPr>
      <w:r>
        <w:rPr>
          <w:rFonts w:ascii="Arial" w:cs="Arial" w:eastAsia="Arial" w:hAnsi="Arial"/>
          <w:b/>
          <w:bCs/>
          <w:color w:val="1F4E79"/>
          <w:sz w:val="32"/>
          <w:szCs w:val="32"/>
        </w:rPr>
        <w:t xml:space="preserve">5.  Worked examples</w:t>
      </w:r>
    </w:p>
    <w:p>
      <w:pPr>
        <w:spacing w:after="80" w:before="80" w:line="276"/>
      </w:pPr>
      <w:r>
        <w:rPr>
          <w:rFonts w:ascii="Arial" w:cs="Arial" w:eastAsia="Arial" w:hAnsi="Arial"/>
          <w:b w:val="false"/>
          <w:bCs w:val="false"/>
          <w:i w:val="false"/>
          <w:iCs w:val="false"/>
          <w:color w:val="222222"/>
          <w:sz w:val="22"/>
          <w:szCs w:val="22"/>
        </w:rPr>
        <w:t xml:space="preserve">Four pairs. Same model, same shipped cut of 0.82. Read them as “what the pieces actually do.”</w:t>
      </w:r>
    </w:p>
    <w:p>
      <w:pPr>
        <w:pStyle w:val="Heading3"/>
        <w:spacing w:after="80" w:before="200"/>
      </w:pPr>
      <w:r>
        <w:rPr>
          <w:rFonts w:ascii="Arial" w:cs="Arial" w:eastAsia="Arial" w:hAnsi="Arial"/>
          <w:b/>
          <w:bCs/>
          <w:color w:val="2E86AB"/>
          <w:sz w:val="22"/>
          <w:szCs w:val="22"/>
        </w:rPr>
        <w:t xml:space="preserve">Example A — Phenytoin × magnesium oxide   (true incompatible, caught)</w:t>
      </w:r>
    </w:p>
    <w:p>
      <w:pPr>
        <w:pStyle w:val="ListParagraph"/>
        <w:numPr>
          <w:ilvl w:val="0"/>
          <w:numId w:val="2"/>
        </w:numPr>
        <w:spacing w:after="40" w:before="40" w:line="260"/>
      </w:pPr>
      <w:r>
        <w:rPr>
          <w:rFonts w:ascii="Arial" w:cs="Arial" w:eastAsia="Arial" w:hAnsi="Arial"/>
          <w:color w:val="222222"/>
          <w:sz w:val="22"/>
          <w:szCs w:val="22"/>
        </w:rPr>
        <w:t xml:space="preserve">Phenytoin: hydantoin + two phenyls. Flags: amide-like, not a metal.</w:t>
      </w:r>
    </w:p>
    <w:p>
      <w:pPr>
        <w:pStyle w:val="ListParagraph"/>
        <w:numPr>
          <w:ilvl w:val="0"/>
          <w:numId w:val="2"/>
        </w:numPr>
        <w:spacing w:after="40" w:before="40" w:line="260"/>
      </w:pPr>
      <w:r>
        <w:rPr>
          <w:rFonts w:ascii="Arial" w:cs="Arial" w:eastAsia="Arial" w:hAnsi="Arial"/>
          <w:color w:val="222222"/>
          <w:sz w:val="22"/>
          <w:szCs w:val="22"/>
        </w:rPr>
        <w:t xml:space="preserve">MgO: almost empty fingerprints (inorganic). Flags: metal, has_Mg, strong base, no carbons.</w:t>
      </w:r>
    </w:p>
    <w:p>
      <w:pPr>
        <w:pStyle w:val="ListParagraph"/>
        <w:numPr>
          <w:ilvl w:val="0"/>
          <w:numId w:val="2"/>
        </w:numPr>
        <w:spacing w:after="40" w:before="40" w:line="260"/>
      </w:pPr>
      <w:r>
        <w:rPr>
          <w:rFonts w:ascii="Arial" w:cs="Arial" w:eastAsia="Arial" w:hAnsi="Arial"/>
          <w:color w:val="222222"/>
          <w:sz w:val="22"/>
          <w:szCs w:val="22"/>
        </w:rPr>
        <w:t xml:space="preserve">Prior(MgO) ≈ 0.34, so the gate opens.</w:t>
      </w:r>
    </w:p>
    <w:p>
      <w:pPr>
        <w:pStyle w:val="ListParagraph"/>
        <w:numPr>
          <w:ilvl w:val="0"/>
          <w:numId w:val="2"/>
        </w:numPr>
        <w:spacing w:after="40" w:before="40" w:line="260"/>
      </w:pPr>
      <w:r>
        <w:rPr>
          <w:rFonts w:ascii="Arial" w:cs="Arial" w:eastAsia="Arial" w:hAnsi="Arial"/>
          <w:color w:val="222222"/>
          <w:sz w:val="22"/>
          <w:szCs w:val="22"/>
        </w:rPr>
        <w:t xml:space="preserve">Bilinear sees “hydantoin × metal oxide.” Residual is large and positive.</w:t>
      </w:r>
    </w:p>
    <w:p>
      <w:pPr>
        <w:pStyle w:val="ListParagraph"/>
        <w:numPr>
          <w:ilvl w:val="0"/>
          <w:numId w:val="2"/>
        </w:numPr>
        <w:spacing w:after="40" w:before="40" w:line="260"/>
      </w:pPr>
      <w:r>
        <w:rPr>
          <w:rFonts w:ascii="Arial" w:cs="Arial" w:eastAsia="Arial" w:hAnsi="Arial"/>
          <w:color w:val="222222"/>
          <w:sz w:val="22"/>
          <w:szCs w:val="22"/>
        </w:rPr>
        <w:t xml:space="preserve">Score 0.89 ≥ 0.82 → incompatible. Correct.</w:t>
      </w:r>
    </w:p>
    <w:p>
      <w:pPr>
        <w:pStyle w:val="Heading3"/>
        <w:spacing w:after="80" w:before="200"/>
      </w:pPr>
      <w:r>
        <w:rPr>
          <w:rFonts w:ascii="Arial" w:cs="Arial" w:eastAsia="Arial" w:hAnsi="Arial"/>
          <w:b/>
          <w:bCs/>
          <w:color w:val="2E86AB"/>
          <w:sz w:val="22"/>
          <w:szCs w:val="22"/>
        </w:rPr>
        <w:t xml:space="preserve">Example B — Celecoxib × titanium dioxide   (true compatible, correct)</w:t>
      </w:r>
    </w:p>
    <w:p>
      <w:pPr>
        <w:pStyle w:val="ListParagraph"/>
        <w:numPr>
          <w:ilvl w:val="0"/>
          <w:numId w:val="2"/>
        </w:numPr>
        <w:spacing w:after="40" w:before="40" w:line="260"/>
      </w:pPr>
      <w:r>
        <w:rPr>
          <w:rFonts w:ascii="Arial" w:cs="Arial" w:eastAsia="Arial" w:hAnsi="Arial"/>
          <w:color w:val="222222"/>
          <w:sz w:val="22"/>
          <w:szCs w:val="22"/>
        </w:rPr>
        <w:t xml:space="preserve">TiO2 prior ≈ 0.003. Gate shuts.</w:t>
      </w:r>
    </w:p>
    <w:p>
      <w:pPr>
        <w:pStyle w:val="ListParagraph"/>
        <w:numPr>
          <w:ilvl w:val="0"/>
          <w:numId w:val="2"/>
        </w:numPr>
        <w:spacing w:after="40" w:before="40" w:line="260"/>
      </w:pPr>
      <w:r>
        <w:rPr>
          <w:rFonts w:ascii="Arial" w:cs="Arial" w:eastAsia="Arial" w:hAnsi="Arial"/>
          <w:color w:val="222222"/>
          <w:sz w:val="22"/>
          <w:szCs w:val="22"/>
        </w:rPr>
        <w:t xml:space="preserve">Bilinear is ignored even if a Morgan bit happens to collide.</w:t>
      </w:r>
    </w:p>
    <w:p>
      <w:pPr>
        <w:pStyle w:val="ListParagraph"/>
        <w:numPr>
          <w:ilvl w:val="0"/>
          <w:numId w:val="2"/>
        </w:numPr>
        <w:spacing w:after="40" w:before="40" w:line="260"/>
      </w:pPr>
      <w:r>
        <w:rPr>
          <w:rFonts w:ascii="Arial" w:cs="Arial" w:eastAsia="Arial" w:hAnsi="Arial"/>
          <w:color w:val="222222"/>
          <w:sz w:val="22"/>
          <w:szCs w:val="22"/>
        </w:rPr>
        <w:t xml:space="preserve">Score 0.06. Correct compatible.</w:t>
      </w:r>
    </w:p>
    <w:p>
      <w:pPr>
        <w:pStyle w:val="Heading3"/>
        <w:spacing w:after="80" w:before="200"/>
      </w:pPr>
      <w:r>
        <w:rPr>
          <w:rFonts w:ascii="Arial" w:cs="Arial" w:eastAsia="Arial" w:hAnsi="Arial"/>
          <w:b/>
          <w:bCs/>
          <w:color w:val="2E86AB"/>
          <w:sz w:val="22"/>
          <w:szCs w:val="22"/>
        </w:rPr>
        <w:t xml:space="preserve">Example C — Fluvoxamine × lactose   (true incompatible)</w:t>
      </w:r>
    </w:p>
    <w:p>
      <w:pPr>
        <w:pStyle w:val="ListParagraph"/>
        <w:numPr>
          <w:ilvl w:val="0"/>
          <w:numId w:val="2"/>
        </w:numPr>
        <w:spacing w:after="40" w:before="40" w:line="260"/>
      </w:pPr>
      <w:r>
        <w:rPr>
          <w:rFonts w:ascii="Arial" w:cs="Arial" w:eastAsia="Arial" w:hAnsi="Arial"/>
          <w:color w:val="222222"/>
          <w:sz w:val="22"/>
          <w:szCs w:val="22"/>
        </w:rPr>
        <w:t xml:space="preserve">Lactose prior ≈ 0.26. Gate opens.</w:t>
      </w:r>
    </w:p>
    <w:p>
      <w:pPr>
        <w:pStyle w:val="ListParagraph"/>
        <w:numPr>
          <w:ilvl w:val="0"/>
          <w:numId w:val="2"/>
        </w:numPr>
        <w:spacing w:after="40" w:before="40" w:line="260"/>
      </w:pPr>
      <w:r>
        <w:rPr>
          <w:rFonts w:ascii="Arial" w:cs="Arial" w:eastAsia="Arial" w:hAnsi="Arial"/>
          <w:color w:val="222222"/>
          <w:sz w:val="22"/>
          <w:szCs w:val="22"/>
        </w:rPr>
        <w:t xml:space="preserve">Amine flag on the API + many –OH on the excipient is exactly the pattern the bilinear term is for.</w:t>
      </w:r>
    </w:p>
    <w:p>
      <w:pPr>
        <w:pStyle w:val="ListParagraph"/>
        <w:numPr>
          <w:ilvl w:val="0"/>
          <w:numId w:val="2"/>
        </w:numPr>
        <w:spacing w:after="40" w:before="40" w:line="260"/>
      </w:pPr>
      <w:r>
        <w:rPr>
          <w:rFonts w:ascii="Arial" w:cs="Arial" w:eastAsia="Arial" w:hAnsi="Arial"/>
          <w:color w:val="222222"/>
          <w:sz w:val="22"/>
          <w:szCs w:val="22"/>
        </w:rPr>
        <w:t xml:space="preserve">Score 0.72. Caught at the 0.60 screen cut, missed at the stricter 0.82 cut.</w:t>
      </w:r>
    </w:p>
    <w:p>
      <w:pPr>
        <w:pStyle w:val="ListParagraph"/>
        <w:numPr>
          <w:ilvl w:val="0"/>
          <w:numId w:val="2"/>
        </w:numPr>
        <w:spacing w:after="40" w:before="40" w:line="260"/>
      </w:pPr>
      <w:r>
        <w:rPr>
          <w:rFonts w:ascii="Arial" w:cs="Arial" w:eastAsia="Arial" w:hAnsi="Arial"/>
          <w:color w:val="222222"/>
          <w:sz w:val="22"/>
          <w:szCs w:val="22"/>
        </w:rPr>
        <w:t xml:space="preserve">This is a threshold choice, not a representation failure.</w:t>
      </w:r>
    </w:p>
    <w:p>
      <w:pPr>
        <w:pStyle w:val="Heading3"/>
        <w:spacing w:after="80" w:before="200"/>
      </w:pPr>
      <w:r>
        <w:rPr>
          <w:rFonts w:ascii="Arial" w:cs="Arial" w:eastAsia="Arial" w:hAnsi="Arial"/>
          <w:b/>
          <w:bCs/>
          <w:color w:val="2E86AB"/>
          <w:sz w:val="22"/>
          <w:szCs w:val="22"/>
        </w:rPr>
        <w:t xml:space="preserve">Example D — Acetazolamide × mannitol   (true incompatible, missed at both cuts)</w:t>
      </w:r>
    </w:p>
    <w:p>
      <w:pPr>
        <w:pStyle w:val="ListParagraph"/>
        <w:numPr>
          <w:ilvl w:val="0"/>
          <w:numId w:val="2"/>
        </w:numPr>
        <w:spacing w:after="40" w:before="40" w:line="260"/>
      </w:pPr>
      <w:r>
        <w:rPr>
          <w:rFonts w:ascii="Arial" w:cs="Arial" w:eastAsia="Arial" w:hAnsi="Arial"/>
          <w:color w:val="222222"/>
          <w:sz w:val="22"/>
          <w:szCs w:val="22"/>
        </w:rPr>
        <w:t xml:space="preserve">Mannitol prior ≈ 0.04 — in this training set mannitol is almost always compatible.</w:t>
      </w:r>
    </w:p>
    <w:p>
      <w:pPr>
        <w:pStyle w:val="ListParagraph"/>
        <w:numPr>
          <w:ilvl w:val="0"/>
          <w:numId w:val="2"/>
        </w:numPr>
        <w:spacing w:after="40" w:before="40" w:line="260"/>
      </w:pPr>
      <w:r>
        <w:rPr>
          <w:rFonts w:ascii="Arial" w:cs="Arial" w:eastAsia="Arial" w:hAnsi="Arial"/>
          <w:color w:val="222222"/>
          <w:sz w:val="22"/>
          <w:szCs w:val="22"/>
        </w:rPr>
        <w:t xml:space="preserve">The prior fights the pair evidence. Score 0.49.</w:t>
      </w:r>
    </w:p>
    <w:p>
      <w:pPr>
        <w:pStyle w:val="ListParagraph"/>
        <w:numPr>
          <w:ilvl w:val="0"/>
          <w:numId w:val="2"/>
        </w:numPr>
        <w:spacing w:after="40" w:before="40" w:line="260"/>
      </w:pPr>
      <w:r>
        <w:rPr>
          <w:rFonts w:ascii="Arial" w:cs="Arial" w:eastAsia="Arial" w:hAnsi="Arial"/>
          <w:color w:val="222222"/>
          <w:sz w:val="22"/>
          <w:szCs w:val="22"/>
        </w:rPr>
        <w:t xml:space="preserve">Nguyen's published stack missed this pair too. A “safe” excipient plus a rare mechanism is the hard case.</w:t>
      </w:r>
    </w:p>
    <w:p>
      <w:pPr>
        <w:pStyle w:val="Heading1"/>
        <w:pBdr>
          <w:bottom w:val="single" w:color="1F4E79" w:sz="12" w:space="4"/>
        </w:pBdr>
        <w:spacing w:after="160" w:before="360"/>
      </w:pPr>
      <w:r>
        <w:rPr>
          <w:rFonts w:ascii="Arial" w:cs="Arial" w:eastAsia="Arial" w:hAnsi="Arial"/>
          <w:b/>
          <w:bCs/>
          <w:color w:val="1F4E79"/>
          <w:sz w:val="32"/>
          <w:szCs w:val="32"/>
        </w:rPr>
        <w:t xml:space="preserve">6.  Results on every test we scored</w:t>
      </w:r>
    </w:p>
    <w:p>
      <w:pPr>
        <w:spacing w:after="80" w:before="80" w:line="276"/>
      </w:pPr>
      <w:r>
        <w:rPr>
          <w:rFonts w:ascii="Arial" w:cs="Arial" w:eastAsia="Arial" w:hAnsi="Arial"/>
          <w:b w:val="false"/>
          <w:bCs w:val="false"/>
          <w:i w:val="false"/>
          <w:iCs w:val="false"/>
          <w:color w:val="222222"/>
          <w:sz w:val="22"/>
          <w:szCs w:val="22"/>
        </w:rPr>
        <w:t xml:space="preserve">Every number below is from the trained checkpoint gated_bilinear_pairnet.pt. We did not retune on the held-out files. The shipped cut is always the validation MCC threshold 0.82 unless a second cut is named.</w:t>
      </w:r>
    </w:p>
    <w:p>
      <w:pPr>
        <w:pStyle w:val="Heading2"/>
        <w:spacing w:after="120" w:before="280"/>
      </w:pPr>
      <w:r>
        <w:rPr>
          <w:rFonts w:ascii="Arial" w:cs="Arial" w:eastAsia="Arial" w:hAnsi="Arial"/>
          <w:b/>
          <w:bCs/>
          <w:color w:val="1F4E79"/>
          <w:sz w:val="26"/>
          <w:szCs w:val="26"/>
        </w:rPr>
        <w:t xml:space="preserve">6.1  Official API-cluster test  —  quote this one</w:t>
      </w:r>
    </w:p>
    <w:p>
      <w:pPr>
        <w:spacing w:after="80" w:before="80" w:line="276"/>
      </w:pPr>
      <w:r>
        <w:rPr>
          <w:rFonts w:ascii="Arial" w:cs="Arial" w:eastAsia="Arial" w:hAnsi="Arial"/>
          <w:b w:val="false"/>
          <w:bCs w:val="false"/>
          <w:i w:val="false"/>
          <w:iCs w:val="false"/>
          <w:color w:val="222222"/>
          <w:sz w:val="22"/>
          <w:szCs w:val="22"/>
        </w:rPr>
        <w:t xml:space="preserve">672 pairs. 77 incompatible, 595 compatible. APIs in test do not appear in train. This is the number that matters.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900"/>
        <w:gridCol w:w="900"/>
        <w:gridCol w:w="800"/>
        <w:gridCol w:w="800"/>
        <w:gridCol w:w="700"/>
        <w:gridCol w:w="1280"/>
      </w:tblGrid>
      <w:tr>
        <w:trPr>
          <w:tblHeader/>
        </w:trPr>
        <w:tc>
          <w:tcPr>
            <w:tcW w:type="dxa" w:w="2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Model</w:t>
            </w:r>
          </w:p>
        </w:tc>
        <w:tc>
          <w:tcPr>
            <w:tcW w:type="dxa" w:w="1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PR-AUC</w:t>
            </w:r>
          </w:p>
        </w:tc>
        <w:tc>
          <w:tcPr>
            <w:tcW w:type="dxa" w:w="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ROC</w:t>
            </w:r>
          </w:p>
        </w:tc>
        <w:tc>
          <w:tcPr>
            <w:tcW w:type="dxa" w:w="9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MCC</w:t>
            </w:r>
          </w:p>
        </w:tc>
        <w:tc>
          <w:tcPr>
            <w:tcW w:type="dxa" w:w="9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Prec</w:t>
            </w:r>
          </w:p>
        </w:tc>
        <w:tc>
          <w:tcPr>
            <w:tcW w:type="dxa" w:w="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Rec</w:t>
            </w:r>
          </w:p>
        </w:tc>
        <w:tc>
          <w:tcPr>
            <w:tcW w:type="dxa" w:w="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Acc</w:t>
            </w:r>
          </w:p>
        </w:tc>
        <w:tc>
          <w:tcPr>
            <w:tcW w:type="dxa" w:w="7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FP</w:t>
            </w:r>
          </w:p>
        </w:tc>
        <w:tc>
          <w:tcPr>
            <w:tcW w:type="dxa" w:w="12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TNR</w:t>
            </w:r>
          </w:p>
        </w:tc>
      </w:tr>
      <w:tr>
        <w:tc>
          <w:tcPr>
            <w:tcW w:type="dxa" w:w="2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PARDHU's model  @ 0.957</w:t>
            </w:r>
          </w:p>
        </w:tc>
        <w:tc>
          <w:tcPr>
            <w:tcW w:type="dxa" w:w="1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0.50</w:t>
            </w:r>
          </w:p>
        </w:tc>
        <w:tc>
          <w:tcPr>
            <w:tcW w:type="dxa" w:w="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w:t>
            </w:r>
          </w:p>
        </w:tc>
        <w:tc>
          <w:tcPr>
            <w:tcW w:type="dxa" w:w="9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0.41</w:t>
            </w:r>
          </w:p>
        </w:tc>
        <w:tc>
          <w:tcPr>
            <w:tcW w:type="dxa" w:w="9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0.43</w:t>
            </w:r>
          </w:p>
        </w:tc>
        <w:tc>
          <w:tcPr>
            <w:tcW w:type="dxa" w:w="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0.55</w:t>
            </w:r>
          </w:p>
        </w:tc>
        <w:tc>
          <w:tcPr>
            <w:tcW w:type="dxa" w:w="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0.87</w:t>
            </w:r>
          </w:p>
        </w:tc>
        <w:tc>
          <w:tcPr>
            <w:tcW w:type="dxa" w:w="7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56</w:t>
            </w:r>
          </w:p>
        </w:tc>
        <w:tc>
          <w:tcPr>
            <w:tcW w:type="dxa" w:w="1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0.91</w:t>
            </w:r>
          </w:p>
        </w:tc>
      </w:tr>
      <w:tr>
        <w:tc>
          <w:tcPr>
            <w:tcW w:type="dxa" w:w="2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Gated Bilinear  @ 0.82</w:t>
            </w:r>
          </w:p>
        </w:tc>
        <w:tc>
          <w:tcPr>
            <w:tcW w:type="dxa" w:w="1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0.73</w:t>
            </w:r>
          </w:p>
        </w:tc>
        <w:tc>
          <w:tcPr>
            <w:tcW w:type="dxa" w:w="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0.93</w:t>
            </w:r>
          </w:p>
        </w:tc>
        <w:tc>
          <w:tcPr>
            <w:tcW w:type="dxa" w:w="9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0.61</w:t>
            </w:r>
          </w:p>
        </w:tc>
        <w:tc>
          <w:tcPr>
            <w:tcW w:type="dxa" w:w="9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0.75</w:t>
            </w:r>
          </w:p>
        </w:tc>
        <w:tc>
          <w:tcPr>
            <w:tcW w:type="dxa" w:w="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0.56</w:t>
            </w:r>
          </w:p>
        </w:tc>
        <w:tc>
          <w:tcPr>
            <w:tcW w:type="dxa" w:w="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0.93</w:t>
            </w:r>
          </w:p>
        </w:tc>
        <w:tc>
          <w:tcPr>
            <w:tcW w:type="dxa" w:w="7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14</w:t>
            </w:r>
          </w:p>
        </w:tc>
        <w:tc>
          <w:tcPr>
            <w:tcW w:type="dxa" w:w="1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0.98</w:t>
            </w:r>
          </w:p>
        </w:tc>
      </w:tr>
    </w:tbl>
    <w:p>
      <w:pPr>
        <w:spacing w:after="200" w:before="60"/>
        <w:jc w:val="center"/>
      </w:pPr>
      <w:r>
        <w:rPr>
          <w:rFonts w:ascii="Arial" w:cs="Arial" w:eastAsia="Arial" w:hAnsi="Arial"/>
          <w:i/>
          <w:iCs/>
          <w:color w:val="34495E"/>
          <w:sz w:val="18"/>
          <w:szCs w:val="18"/>
        </w:rPr>
        <w:t xml:space="preserve">Table 10. Official test, ranking and decision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1000"/>
        <w:gridCol w:w="1540"/>
        <w:gridCol w:w="1540"/>
      </w:tblGrid>
      <w:tr>
        <w:trPr>
          <w:tblHeader/>
        </w:trPr>
        <w:tc>
          <w:tcPr>
            <w:tcW w:type="dxa" w:w="3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Model</w:t>
            </w:r>
          </w:p>
        </w:tc>
        <w:tc>
          <w:tcPr>
            <w:tcW w:type="dxa" w:w="1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TN</w:t>
            </w:r>
          </w:p>
        </w:tc>
        <w:tc>
          <w:tcPr>
            <w:tcW w:type="dxa" w:w="1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FP</w:t>
            </w:r>
          </w:p>
        </w:tc>
        <w:tc>
          <w:tcPr>
            <w:tcW w:type="dxa" w:w="1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FN</w:t>
            </w:r>
          </w:p>
        </w:tc>
        <w:tc>
          <w:tcPr>
            <w:tcW w:type="dxa" w:w="1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TP</w:t>
            </w:r>
          </w:p>
        </w:tc>
        <w:tc>
          <w:tcPr>
            <w:tcW w:type="dxa" w:w="154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Incomp. caught</w:t>
            </w:r>
          </w:p>
        </w:tc>
        <w:tc>
          <w:tcPr>
            <w:tcW w:type="dxa" w:w="154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Compat. correct</w:t>
            </w:r>
          </w:p>
        </w:tc>
      </w:tr>
      <w:tr>
        <w:tc>
          <w:tcPr>
            <w:tcW w:type="dxa" w:w="3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PARDHU's model  @ 0.957</w:t>
            </w:r>
          </w:p>
        </w:tc>
        <w:tc>
          <w:tcPr>
            <w:tcW w:type="dxa" w:w="1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539</w:t>
            </w:r>
          </w:p>
        </w:tc>
        <w:tc>
          <w:tcPr>
            <w:tcW w:type="dxa" w:w="1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56</w:t>
            </w:r>
          </w:p>
        </w:tc>
        <w:tc>
          <w:tcPr>
            <w:tcW w:type="dxa" w:w="1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35</w:t>
            </w:r>
          </w:p>
        </w:tc>
        <w:tc>
          <w:tcPr>
            <w:tcW w:type="dxa" w:w="1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42</w:t>
            </w:r>
          </w:p>
        </w:tc>
        <w:tc>
          <w:tcPr>
            <w:tcW w:type="dxa" w:w="15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42 / 77</w:t>
            </w:r>
          </w:p>
        </w:tc>
        <w:tc>
          <w:tcPr>
            <w:tcW w:type="dxa" w:w="15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539 / 595</w:t>
            </w:r>
          </w:p>
        </w:tc>
      </w:tr>
      <w:tr>
        <w:tc>
          <w:tcPr>
            <w:tcW w:type="dxa" w:w="3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Gated Bilinear  @ 0.82</w:t>
            </w:r>
          </w:p>
        </w:tc>
        <w:tc>
          <w:tcPr>
            <w:tcW w:type="dxa" w:w="1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581</w:t>
            </w:r>
          </w:p>
        </w:tc>
        <w:tc>
          <w:tcPr>
            <w:tcW w:type="dxa" w:w="1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14</w:t>
            </w:r>
          </w:p>
        </w:tc>
        <w:tc>
          <w:tcPr>
            <w:tcW w:type="dxa" w:w="1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34</w:t>
            </w:r>
          </w:p>
        </w:tc>
        <w:tc>
          <w:tcPr>
            <w:tcW w:type="dxa" w:w="1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43</w:t>
            </w:r>
          </w:p>
        </w:tc>
        <w:tc>
          <w:tcPr>
            <w:tcW w:type="dxa" w:w="15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43 / 77</w:t>
            </w:r>
          </w:p>
        </w:tc>
        <w:tc>
          <w:tcPr>
            <w:tcW w:type="dxa" w:w="15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581 / 595</w:t>
            </w:r>
          </w:p>
        </w:tc>
      </w:tr>
    </w:tbl>
    <w:p>
      <w:pPr>
        <w:spacing w:after="200" w:before="60"/>
        <w:jc w:val="center"/>
      </w:pPr>
      <w:r>
        <w:rPr>
          <w:rFonts w:ascii="Arial" w:cs="Arial" w:eastAsia="Arial" w:hAnsi="Arial"/>
          <w:i/>
          <w:iCs/>
          <w:color w:val="34495E"/>
          <w:sz w:val="18"/>
          <w:szCs w:val="18"/>
        </w:rPr>
        <w:t xml:space="preserve">Table 11. Official test, confusion 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CFDC" w:sz="4"/>
              <w:left w:val="single" w:color="BFCFDC" w:sz="4"/>
              <w:bottom w:val="single" w:color="BFCFDC" w:sz="4"/>
              <w:right w:val="single" w:color="BFCFDC" w:sz="4"/>
            </w:tcBorders>
            <w:shd w:fill="D5F5E3" w:val="clear"/>
            <w:tcMar>
              <w:top w:type="dxa" w:w="120"/>
              <w:left w:type="dxa" w:w="160"/>
              <w:bottom w:type="dxa" w:w="120"/>
              <w:right w:type="dxa" w:w="160"/>
            </w:tcMar>
          </w:tcPr>
          <w:p>
            <w:pPr>
              <w:spacing w:after="60"/>
            </w:pPr>
            <w:r>
              <w:rPr>
                <w:rFonts w:ascii="Arial" w:cs="Arial" w:eastAsia="Arial" w:hAnsi="Arial"/>
                <w:b/>
                <w:bCs/>
                <w:color w:val="196F3A"/>
                <w:sz w:val="22"/>
                <w:szCs w:val="22"/>
              </w:rPr>
              <w:t xml:space="preserve">What changed in one line</w:t>
            </w:r>
          </w:p>
          <w:p>
            <w:pPr>
              <w:spacing w:after="0" w:line="276"/>
            </w:pPr>
            <w:r>
              <w:rPr>
                <w:rFonts w:ascii="Arial" w:cs="Arial" w:eastAsia="Arial" w:hAnsi="Arial"/>
                <w:color w:val="222222"/>
                <w:sz w:val="21"/>
                <w:szCs w:val="21"/>
              </w:rPr>
              <w:t xml:space="preserve">Incompatible catch rate is almost the same (42 → 43 out of 77). Compatible false alarms are what moved: 56 → 14. That was the original request — improve performance on compatibility — and it is the official-test result.</w:t>
            </w:r>
          </w:p>
        </w:tc>
      </w:tr>
    </w:tbl>
    <w:p>
      <w:pPr>
        <w:pStyle w:val="Heading2"/>
        <w:spacing w:after="120" w:before="280"/>
      </w:pPr>
      <w:r>
        <w:rPr>
          <w:rFonts w:ascii="Arial" w:cs="Arial" w:eastAsia="Arial" w:hAnsi="Arial"/>
          <w:b/>
          <w:bCs/>
          <w:color w:val="1F4E79"/>
          <w:sz w:val="26"/>
          <w:szCs w:val="26"/>
        </w:rPr>
        <w:t xml:space="preserve">6.2  Validation set</w:t>
      </w:r>
    </w:p>
    <w:p>
      <w:pPr>
        <w:spacing w:after="80" w:before="80" w:line="276"/>
      </w:pPr>
      <w:r>
        <w:rPr>
          <w:rFonts w:ascii="Arial" w:cs="Arial" w:eastAsia="Arial" w:hAnsi="Arial"/>
          <w:b w:val="false"/>
          <w:bCs w:val="false"/>
          <w:i w:val="false"/>
          <w:iCs w:val="false"/>
          <w:color w:val="222222"/>
          <w:sz w:val="22"/>
          <w:szCs w:val="22"/>
        </w:rPr>
        <w:t xml:space="preserve">842 pairs. Used only to pick the threshold and to early-stop. Not a second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900"/>
        <w:gridCol w:w="900"/>
        <w:gridCol w:w="800"/>
        <w:gridCol w:w="800"/>
        <w:gridCol w:w="800"/>
        <w:gridCol w:w="2200"/>
        <w:gridCol w:w="1080"/>
      </w:tblGrid>
      <w:tr>
        <w:trPr>
          <w:tblHeader/>
        </w:trPr>
        <w:tc>
          <w:tcPr>
            <w:tcW w:type="dxa" w:w="1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Set</w:t>
            </w:r>
          </w:p>
        </w:tc>
        <w:tc>
          <w:tcPr>
            <w:tcW w:type="dxa" w:w="1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PR-AUC</w:t>
            </w:r>
          </w:p>
        </w:tc>
        <w:tc>
          <w:tcPr>
            <w:tcW w:type="dxa" w:w="9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ROC</w:t>
            </w:r>
          </w:p>
        </w:tc>
        <w:tc>
          <w:tcPr>
            <w:tcW w:type="dxa" w:w="9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MCC</w:t>
            </w:r>
          </w:p>
        </w:tc>
        <w:tc>
          <w:tcPr>
            <w:tcW w:type="dxa" w:w="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w:t>
            </w:r>
          </w:p>
        </w:tc>
        <w:tc>
          <w:tcPr>
            <w:tcW w:type="dxa" w:w="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w:t>
            </w:r>
          </w:p>
        </w:tc>
        <w:tc>
          <w:tcPr>
            <w:tcW w:type="dxa" w:w="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Acc</w:t>
            </w:r>
          </w:p>
        </w:tc>
        <w:tc>
          <w:tcPr>
            <w:tcW w:type="dxa" w:w="22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TN / FP / FN / TP</w:t>
            </w:r>
          </w:p>
        </w:tc>
        <w:tc>
          <w:tcPr>
            <w:tcW w:type="dxa" w:w="10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TNR</w:t>
            </w:r>
          </w:p>
        </w:tc>
      </w:tr>
      <w:tr>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Val @ 0.82</w:t>
            </w:r>
          </w:p>
        </w:tc>
        <w:tc>
          <w:tcPr>
            <w:tcW w:type="dxa" w:w="1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0.69</w:t>
            </w:r>
          </w:p>
        </w:tc>
        <w:tc>
          <w:tcPr>
            <w:tcW w:type="dxa" w:w="9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0.93</w:t>
            </w:r>
          </w:p>
        </w:tc>
        <w:tc>
          <w:tcPr>
            <w:tcW w:type="dxa" w:w="9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0.64</w:t>
            </w:r>
          </w:p>
        </w:tc>
        <w:tc>
          <w:tcPr>
            <w:tcW w:type="dxa" w:w="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0.82</w:t>
            </w:r>
          </w:p>
        </w:tc>
        <w:tc>
          <w:tcPr>
            <w:tcW w:type="dxa" w:w="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0.54</w:t>
            </w:r>
          </w:p>
        </w:tc>
        <w:tc>
          <w:tcPr>
            <w:tcW w:type="dxa" w:w="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0.95</w:t>
            </w:r>
          </w:p>
        </w:tc>
        <w:tc>
          <w:tcPr>
            <w:tcW w:type="dxa" w:w="2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757 / 9 / 35 / 41</w:t>
            </w:r>
          </w:p>
        </w:tc>
        <w:tc>
          <w:tcPr>
            <w:tcW w:type="dxa" w:w="10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0.988</w:t>
            </w:r>
          </w:p>
        </w:tc>
      </w:tr>
    </w:tbl>
    <w:p>
      <w:pPr>
        <w:spacing w:after="200" w:before="60"/>
        <w:jc w:val="center"/>
      </w:pPr>
      <w:r>
        <w:rPr>
          <w:rFonts w:ascii="Arial" w:cs="Arial" w:eastAsia="Arial" w:hAnsi="Arial"/>
          <w:i/>
          <w:iCs/>
          <w:color w:val="34495E"/>
          <w:sz w:val="18"/>
          <w:szCs w:val="18"/>
        </w:rPr>
        <w:t xml:space="preserve">Table 12. Validation at the shipped cut. 9 false alarms on 766 compatible pairs.</w:t>
      </w:r>
    </w:p>
    <w:p>
      <w:pPr>
        <w:pStyle w:val="Heading2"/>
        <w:spacing w:after="120" w:before="280"/>
      </w:pPr>
      <w:r>
        <w:rPr>
          <w:rFonts w:ascii="Arial" w:cs="Arial" w:eastAsia="Arial" w:hAnsi="Arial"/>
          <w:b/>
          <w:bCs/>
          <w:color w:val="1F4E79"/>
          <w:sz w:val="26"/>
          <w:szCs w:val="26"/>
        </w:rPr>
        <w:t xml:space="preserve">6.3  24-row named external set</w:t>
      </w:r>
    </w:p>
    <w:p>
      <w:pPr>
        <w:spacing w:after="80" w:before="80" w:line="276"/>
      </w:pPr>
      <w:r>
        <w:rPr>
          <w:rFonts w:ascii="Arial" w:cs="Arial" w:eastAsia="Arial" w:hAnsi="Arial"/>
          <w:b w:val="false"/>
          <w:bCs w:val="false"/>
          <w:i w:val="false"/>
          <w:iCs w:val="false"/>
          <w:color w:val="222222"/>
          <w:sz w:val="22"/>
          <w:szCs w:val="22"/>
        </w:rPr>
        <w:t xml:space="preserve">This is the file held_out_predictions.csv: Nguyen's 12 published incompatibles plus 12 marketed-looking compatible pairs. Other model columns in that file are ignored. None of the 24 pairs are in train. Two incompatibles (hydrocortisone × Mg stearate, hydrocortisone × β-cyclodextrin) already sit in the official test split, so they are slightly less “external.”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700"/>
        <w:gridCol w:w="700"/>
        <w:gridCol w:w="700"/>
        <w:gridCol w:w="700"/>
        <w:gridCol w:w="900"/>
        <w:gridCol w:w="900"/>
        <w:gridCol w:w="900"/>
        <w:gridCol w:w="1180"/>
      </w:tblGrid>
      <w:tr>
        <w:trPr>
          <w:tblHeader/>
        </w:trPr>
        <w:tc>
          <w:tcPr>
            <w:tcW w:type="dxa" w:w="9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Cut</w:t>
            </w:r>
          </w:p>
        </w:tc>
        <w:tc>
          <w:tcPr>
            <w:tcW w:type="dxa" w:w="25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Meaning</w:t>
            </w:r>
          </w:p>
        </w:tc>
        <w:tc>
          <w:tcPr>
            <w:tcW w:type="dxa" w:w="7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TP</w:t>
            </w:r>
          </w:p>
        </w:tc>
        <w:tc>
          <w:tcPr>
            <w:tcW w:type="dxa" w:w="7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FN</w:t>
            </w:r>
          </w:p>
        </w:tc>
        <w:tc>
          <w:tcPr>
            <w:tcW w:type="dxa" w:w="7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TN</w:t>
            </w:r>
          </w:p>
        </w:tc>
        <w:tc>
          <w:tcPr>
            <w:tcW w:type="dxa" w:w="7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FP</w:t>
            </w:r>
          </w:p>
        </w:tc>
        <w:tc>
          <w:tcPr>
            <w:tcW w:type="dxa" w:w="9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Prec</w:t>
            </w:r>
          </w:p>
        </w:tc>
        <w:tc>
          <w:tcPr>
            <w:tcW w:type="dxa" w:w="9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Rec</w:t>
            </w:r>
          </w:p>
        </w:tc>
        <w:tc>
          <w:tcPr>
            <w:tcW w:type="dxa" w:w="9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Acc</w:t>
            </w:r>
          </w:p>
        </w:tc>
        <w:tc>
          <w:tcPr>
            <w:tcW w:type="dxa" w:w="11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MCC</w:t>
            </w:r>
          </w:p>
        </w:tc>
      </w:tr>
      <w:tr>
        <w:tc>
          <w:tcPr>
            <w:tcW w:type="dxa" w:w="9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0.82</w:t>
            </w:r>
          </w:p>
        </w:tc>
        <w:tc>
          <w:tcPr>
            <w:tcW w:type="dxa" w:w="25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Shipped. Protect compatibility.</w:t>
            </w:r>
          </w:p>
        </w:tc>
        <w:tc>
          <w:tcPr>
            <w:tcW w:type="dxa" w:w="7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4</w:t>
            </w:r>
          </w:p>
        </w:tc>
        <w:tc>
          <w:tcPr>
            <w:tcW w:type="dxa" w:w="7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8</w:t>
            </w:r>
          </w:p>
        </w:tc>
        <w:tc>
          <w:tcPr>
            <w:tcW w:type="dxa" w:w="7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12</w:t>
            </w:r>
          </w:p>
        </w:tc>
        <w:tc>
          <w:tcPr>
            <w:tcW w:type="dxa" w:w="7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w:t>
            </w:r>
          </w:p>
        </w:tc>
        <w:tc>
          <w:tcPr>
            <w:tcW w:type="dxa" w:w="9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1.00</w:t>
            </w:r>
          </w:p>
        </w:tc>
        <w:tc>
          <w:tcPr>
            <w:tcW w:type="dxa" w:w="9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0.33</w:t>
            </w:r>
          </w:p>
        </w:tc>
        <w:tc>
          <w:tcPr>
            <w:tcW w:type="dxa" w:w="9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0.67</w:t>
            </w:r>
          </w:p>
        </w:tc>
        <w:tc>
          <w:tcPr>
            <w:tcW w:type="dxa" w:w="11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0.45</w:t>
            </w:r>
          </w:p>
        </w:tc>
      </w:tr>
      <w:tr>
        <w:tc>
          <w:tcPr>
            <w:tcW w:type="dxa" w:w="9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0.60</w:t>
            </w:r>
          </w:p>
        </w:tc>
        <w:tc>
          <w:tcPr>
            <w:tcW w:type="dxa" w:w="25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Screen. Don't miss a bad pair.</w:t>
            </w:r>
          </w:p>
        </w:tc>
        <w:tc>
          <w:tcPr>
            <w:tcW w:type="dxa" w:w="7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11</w:t>
            </w:r>
          </w:p>
        </w:tc>
        <w:tc>
          <w:tcPr>
            <w:tcW w:type="dxa" w:w="7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w:t>
            </w:r>
          </w:p>
        </w:tc>
        <w:tc>
          <w:tcPr>
            <w:tcW w:type="dxa" w:w="7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11</w:t>
            </w:r>
          </w:p>
        </w:tc>
        <w:tc>
          <w:tcPr>
            <w:tcW w:type="dxa" w:w="7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w:t>
            </w:r>
          </w:p>
        </w:tc>
        <w:tc>
          <w:tcPr>
            <w:tcW w:type="dxa" w:w="9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0.92</w:t>
            </w:r>
          </w:p>
        </w:tc>
        <w:tc>
          <w:tcPr>
            <w:tcW w:type="dxa" w:w="9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0.92</w:t>
            </w:r>
          </w:p>
        </w:tc>
        <w:tc>
          <w:tcPr>
            <w:tcW w:type="dxa" w:w="9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0.92</w:t>
            </w:r>
          </w:p>
        </w:tc>
        <w:tc>
          <w:tcPr>
            <w:tcW w:type="dxa" w:w="11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0.83</w:t>
            </w:r>
          </w:p>
        </w:tc>
      </w:tr>
    </w:tbl>
    <w:p>
      <w:pPr>
        <w:spacing w:after="200" w:before="60"/>
        <w:jc w:val="center"/>
      </w:pPr>
      <w:r>
        <w:rPr>
          <w:rFonts w:ascii="Arial" w:cs="Arial" w:eastAsia="Arial" w:hAnsi="Arial"/>
          <w:i/>
          <w:iCs/>
          <w:color w:val="34495E"/>
          <w:sz w:val="18"/>
          <w:szCs w:val="18"/>
        </w:rPr>
        <w:t xml:space="preserve">Table 13. 24-row named set at both operating points. Ranking: PR-AUC 0.86, ROC-AUC 0.94.</w:t>
      </w:r>
    </w:p>
    <w:p>
      <w:pPr>
        <w:pStyle w:val="Heading3"/>
        <w:spacing w:after="80" w:before="200"/>
      </w:pPr>
      <w:r>
        <w:rPr>
          <w:rFonts w:ascii="Arial" w:cs="Arial" w:eastAsia="Arial" w:hAnsi="Arial"/>
          <w:b/>
          <w:bCs/>
          <w:color w:val="2E86AB"/>
          <w:sz w:val="22"/>
          <w:szCs w:val="22"/>
        </w:rPr>
        <w:t xml:space="preserve">The 12 incompatibles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2140"/>
        <w:gridCol w:w="2140"/>
      </w:tblGrid>
      <w:tr>
        <w:trPr>
          <w:tblHeader/>
        </w:trPr>
        <w:tc>
          <w:tcPr>
            <w:tcW w:type="dxa" w:w="42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Pair</w:t>
            </w:r>
          </w:p>
        </w:tc>
        <w:tc>
          <w:tcPr>
            <w:tcW w:type="dxa" w:w="1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Score</w:t>
            </w:r>
          </w:p>
        </w:tc>
        <w:tc>
          <w:tcPr>
            <w:tcW w:type="dxa" w:w="214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 0.82</w:t>
            </w:r>
          </w:p>
        </w:tc>
        <w:tc>
          <w:tcPr>
            <w:tcW w:type="dxa" w:w="214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 0.60</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Warfarin × Mg aluminum silicate</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0.60</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miss</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Phenytoin × MgO</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0.89</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Trichlormethiazide × MgO</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0.92</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Tetracycline × Ca phosphate</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0.61</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miss</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Fluvoxamine × lactose</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0.72</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miss</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Acetazolamide × lactose</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0.81</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miss</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Acetazolamide × mannitol</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0.49</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miss</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miss</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Phenytoin sodium × lactose</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0.78</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miss</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Phenytoin sodium × CaSO4</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0.91</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Hydrocortisone × Mg stearate</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0.78</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miss</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Hydrocortisone × β-cyclodextrin</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0.66</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miss</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Quercetin × MgCO3</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0.93</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catch</w:t>
            </w:r>
          </w:p>
        </w:tc>
      </w:tr>
    </w:tbl>
    <w:p>
      <w:pPr>
        <w:spacing w:after="200" w:before="60"/>
        <w:jc w:val="center"/>
      </w:pPr>
      <w:r>
        <w:rPr>
          <w:rFonts w:ascii="Arial" w:cs="Arial" w:eastAsia="Arial" w:hAnsi="Arial"/>
          <w:i/>
          <w:iCs/>
          <w:color w:val="34495E"/>
          <w:sz w:val="18"/>
          <w:szCs w:val="18"/>
        </w:rPr>
        <w:t xml:space="preserve">Table 14. Named incompatibles. Only miss at 0.60: acetazolamide × mannitol.</w:t>
      </w:r>
    </w:p>
    <w:p>
      <w:pPr>
        <w:pStyle w:val="Heading3"/>
        <w:spacing w:after="80" w:before="200"/>
      </w:pPr>
      <w:r>
        <w:rPr>
          <w:rFonts w:ascii="Arial" w:cs="Arial" w:eastAsia="Arial" w:hAnsi="Arial"/>
          <w:b/>
          <w:bCs/>
          <w:color w:val="2E86AB"/>
          <w:sz w:val="22"/>
          <w:szCs w:val="22"/>
        </w:rPr>
        <w:t xml:space="preserve">The 12 compatibles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2140"/>
        <w:gridCol w:w="2140"/>
      </w:tblGrid>
      <w:tr>
        <w:trPr>
          <w:tblHeader/>
        </w:trPr>
        <w:tc>
          <w:tcPr>
            <w:tcW w:type="dxa" w:w="42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Pair</w:t>
            </w:r>
          </w:p>
        </w:tc>
        <w:tc>
          <w:tcPr>
            <w:tcW w:type="dxa" w:w="1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Score</w:t>
            </w:r>
          </w:p>
        </w:tc>
        <w:tc>
          <w:tcPr>
            <w:tcW w:type="dxa" w:w="214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 0.82</w:t>
            </w:r>
          </w:p>
        </w:tc>
        <w:tc>
          <w:tcPr>
            <w:tcW w:type="dxa" w:w="214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 0.60</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Metformin HCl × Mg stearate</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0.55</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Lamotrigine × SLS</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0.31</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Gabapentin × mannitol</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0.38</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Omeprazole × SiO2</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0.20</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Carbamazepine × propylene glycol</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0.29</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HCTZ × stearic acid</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0.53</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Celecoxib × TiO2</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0.06</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Topiramate × triacetin</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0.19</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Levetiracetam × talc</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0.46</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Fenofibrate × sucrose</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0.74</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FP</w:t>
            </w:r>
          </w:p>
        </w:tc>
      </w:tr>
      <w:tr>
        <w:tc>
          <w:tcPr>
            <w:tcW w:type="dxa" w:w="4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Risperidone × lactose monohydrate</w:t>
            </w:r>
          </w:p>
        </w:tc>
        <w:tc>
          <w:tcPr>
            <w:tcW w:type="dxa" w:w="1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0.13</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r>
        <w:tc>
          <w:tcPr>
            <w:tcW w:type="dxa" w:w="4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Olanzapine × Mg stearate</w:t>
            </w:r>
          </w:p>
        </w:tc>
        <w:tc>
          <w:tcPr>
            <w:tcW w:type="dxa" w:w="1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0.54</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c>
          <w:tcPr>
            <w:tcW w:type="dxa" w:w="21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ok</w:t>
            </w:r>
          </w:p>
        </w:tc>
      </w:tr>
    </w:tbl>
    <w:p>
      <w:pPr>
        <w:spacing w:after="200" w:before="60"/>
        <w:jc w:val="center"/>
      </w:pPr>
      <w:r>
        <w:rPr>
          <w:rFonts w:ascii="Arial" w:cs="Arial" w:eastAsia="Arial" w:hAnsi="Arial"/>
          <w:i/>
          <w:iCs/>
          <w:color w:val="34495E"/>
          <w:sz w:val="18"/>
          <w:szCs w:val="18"/>
        </w:rPr>
        <w:t xml:space="preserve">Table 15. Named compatibles. All 12 correct at the shipped cut. One FP at the screen cut.</w:t>
      </w:r>
    </w:p>
    <w:p>
      <w:pPr>
        <w:spacing w:after="80" w:before="80" w:line="276"/>
      </w:pPr>
      <w:r>
        <w:rPr>
          <w:rFonts w:ascii="Arial" w:cs="Arial" w:eastAsia="Arial" w:hAnsi="Arial"/>
          <w:b w:val="false"/>
          <w:bCs w:val="false"/>
          <w:i w:val="false"/>
          <w:iCs w:val="false"/>
          <w:color w:val="222222"/>
          <w:sz w:val="22"/>
          <w:szCs w:val="22"/>
        </w:rPr>
        <w:t xml:space="preserve">Mean score on this file: incompatibles 0.76, compatibles 0.36. The ranking is fine. The cut is a product choice. Nguyen reported 10/12 on the incompatibility list alone. At t = 0.60 this net is 11/12 on that same list, with one extra compatible false alarm.</w:t>
      </w:r>
    </w:p>
    <w:p>
      <w:pPr>
        <w:pStyle w:val="Heading2"/>
        <w:spacing w:after="120" w:before="280"/>
      </w:pPr>
      <w:r>
        <w:rPr>
          <w:rFonts w:ascii="Arial" w:cs="Arial" w:eastAsia="Arial" w:hAnsi="Arial"/>
          <w:b/>
          <w:bCs/>
          <w:color w:val="1F4E79"/>
          <w:sz w:val="26"/>
          <w:szCs w:val="26"/>
        </w:rPr>
        <w:t xml:space="preserve">6.4  193-row polymer dump  —  do not pick a model from this</w:t>
      </w:r>
    </w:p>
    <w:p>
      <w:pPr>
        <w:spacing w:after="80" w:before="80" w:line="276"/>
      </w:pPr>
      <w:r>
        <w:rPr>
          <w:rFonts w:ascii="Arial" w:cs="Arial" w:eastAsia="Arial" w:hAnsi="Arial"/>
          <w:b w:val="false"/>
          <w:bCs w:val="false"/>
          <w:i w:val="false"/>
          <w:iCs w:val="false"/>
          <w:color w:val="222222"/>
          <w:sz w:val="22"/>
          <w:szCs w:val="22"/>
        </w:rPr>
        <w:t xml:space="preserve">193 pairs, only 3 incompatible. 156 rows are one unseen hypromellose SMILES that does not match train. This is a stress test, not a second test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800"/>
        <w:gridCol w:w="800"/>
        <w:gridCol w:w="800"/>
        <w:gridCol w:w="1000"/>
        <w:gridCol w:w="1000"/>
        <w:gridCol w:w="1180"/>
      </w:tblGrid>
      <w:tr>
        <w:trPr>
          <w:tblHeader/>
        </w:trPr>
        <w:tc>
          <w:tcPr>
            <w:tcW w:type="dxa" w:w="3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Model</w:t>
            </w:r>
          </w:p>
        </w:tc>
        <w:tc>
          <w:tcPr>
            <w:tcW w:type="dxa" w:w="9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TN</w:t>
            </w:r>
          </w:p>
        </w:tc>
        <w:tc>
          <w:tcPr>
            <w:tcW w:type="dxa" w:w="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FP</w:t>
            </w:r>
          </w:p>
        </w:tc>
        <w:tc>
          <w:tcPr>
            <w:tcW w:type="dxa" w:w="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FN</w:t>
            </w:r>
          </w:p>
        </w:tc>
        <w:tc>
          <w:tcPr>
            <w:tcW w:type="dxa" w:w="8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TP</w:t>
            </w:r>
          </w:p>
        </w:tc>
        <w:tc>
          <w:tcPr>
            <w:tcW w:type="dxa" w:w="1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TNR</w:t>
            </w:r>
          </w:p>
        </w:tc>
        <w:tc>
          <w:tcPr>
            <w:tcW w:type="dxa" w:w="1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ROC</w:t>
            </w:r>
          </w:p>
        </w:tc>
        <w:tc>
          <w:tcPr>
            <w:tcW w:type="dxa" w:w="11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PR-AUC</w:t>
            </w:r>
          </w:p>
        </w:tc>
      </w:tr>
      <w:tr>
        <w:tc>
          <w:tcPr>
            <w:tcW w:type="dxa" w:w="3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PARDHU's model (file pred column)</w:t>
            </w:r>
          </w:p>
        </w:tc>
        <w:tc>
          <w:tcPr>
            <w:tcW w:type="dxa" w:w="9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187</w:t>
            </w:r>
          </w:p>
        </w:tc>
        <w:tc>
          <w:tcPr>
            <w:tcW w:type="dxa" w:w="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3</w:t>
            </w:r>
          </w:p>
        </w:tc>
        <w:tc>
          <w:tcPr>
            <w:tcW w:type="dxa" w:w="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w:t>
            </w:r>
          </w:p>
        </w:tc>
        <w:tc>
          <w:tcPr>
            <w:tcW w:type="dxa" w:w="8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2</w:t>
            </w:r>
          </w:p>
        </w:tc>
        <w:tc>
          <w:tcPr>
            <w:tcW w:type="dxa" w:w="1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0.98</w:t>
            </w:r>
          </w:p>
        </w:tc>
        <w:tc>
          <w:tcPr>
            <w:tcW w:type="dxa" w:w="1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w:t>
            </w:r>
          </w:p>
        </w:tc>
        <w:tc>
          <w:tcPr>
            <w:tcW w:type="dxa" w:w="11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w:t>
            </w:r>
          </w:p>
        </w:tc>
      </w:tr>
      <w:tr>
        <w:tc>
          <w:tcPr>
            <w:tcW w:type="dxa" w:w="3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Gated Bilinear @ 0.82</w:t>
            </w:r>
          </w:p>
        </w:tc>
        <w:tc>
          <w:tcPr>
            <w:tcW w:type="dxa" w:w="9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180</w:t>
            </w:r>
          </w:p>
        </w:tc>
        <w:tc>
          <w:tcPr>
            <w:tcW w:type="dxa" w:w="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10</w:t>
            </w:r>
          </w:p>
        </w:tc>
        <w:tc>
          <w:tcPr>
            <w:tcW w:type="dxa" w:w="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2</w:t>
            </w:r>
          </w:p>
        </w:tc>
        <w:tc>
          <w:tcPr>
            <w:tcW w:type="dxa" w:w="8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1</w:t>
            </w:r>
          </w:p>
        </w:tc>
        <w:tc>
          <w:tcPr>
            <w:tcW w:type="dxa" w:w="1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0.95</w:t>
            </w:r>
          </w:p>
        </w:tc>
        <w:tc>
          <w:tcPr>
            <w:tcW w:type="dxa" w:w="1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0.92</w:t>
            </w:r>
          </w:p>
        </w:tc>
        <w:tc>
          <w:tcPr>
            <w:tcW w:type="dxa" w:w="11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0.12</w:t>
            </w:r>
          </w:p>
        </w:tc>
      </w:tr>
    </w:tbl>
    <w:p>
      <w:pPr>
        <w:spacing w:after="200" w:before="60"/>
        <w:jc w:val="center"/>
      </w:pPr>
      <w:r>
        <w:rPr>
          <w:rFonts w:ascii="Arial" w:cs="Arial" w:eastAsia="Arial" w:hAnsi="Arial"/>
          <w:i/>
          <w:iCs/>
          <w:color w:val="34495E"/>
          <w:sz w:val="18"/>
          <w:szCs w:val="18"/>
        </w:rPr>
        <w:t xml:space="preserve">Table 16. 193-row dump. Three positives make precision and PR-AUC almost noise.</w:t>
      </w:r>
    </w:p>
    <w:p>
      <w:pPr>
        <w:spacing w:after="80" w:before="80" w:line="276"/>
      </w:pPr>
      <w:r>
        <w:rPr>
          <w:rFonts w:ascii="Arial" w:cs="Arial" w:eastAsia="Arial" w:hAnsi="Arial"/>
          <w:b w:val="false"/>
          <w:bCs w:val="false"/>
          <w:i w:val="false"/>
          <w:iCs w:val="false"/>
          <w:color w:val="222222"/>
          <w:sz w:val="22"/>
          <w:szCs w:val="22"/>
        </w:rPr>
        <w:t xml:space="preserve">PARDHU's model looks stronger here only because its 0.957 cut predicts “compatible” for almost everything (median probability on class 0 ≈ 0.007). The new net ranks the three positives above most negatives (ROC 0.92) but the frozen 0.82 cut, calibrated on official validation, sits right on top of them. Raising the cut to 0.90 on this file matches PARDHU's false-positive count and misses all three incompatibles. There is no cut that keeps 2/3 recall and ≤ 3 false positives here. Do not model-select on three rows.</w:t>
      </w:r>
    </w:p>
    <w:p>
      <w:pPr>
        <w:pStyle w:val="Heading1"/>
        <w:pBdr>
          <w:bottom w:val="single" w:color="1F4E79" w:sz="12" w:space="4"/>
        </w:pBdr>
        <w:spacing w:after="160" w:before="360"/>
      </w:pPr>
      <w:r>
        <w:rPr>
          <w:rFonts w:ascii="Arial" w:cs="Arial" w:eastAsia="Arial" w:hAnsi="Arial"/>
          <w:b/>
          <w:bCs/>
          <w:color w:val="1F4E79"/>
          <w:sz w:val="32"/>
          <w:szCs w:val="32"/>
        </w:rPr>
        <w:t xml:space="preserve">7.  Two operating points, in simple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3280"/>
      </w:tblGrid>
      <w:tr>
        <w:trPr>
          <w:tblHeader/>
        </w:trPr>
        <w:tc>
          <w:tcPr>
            <w:tcW w:type="dxa" w:w="12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Cut</w:t>
            </w:r>
          </w:p>
        </w:tc>
        <w:tc>
          <w:tcPr>
            <w:tcW w:type="dxa" w:w="2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Name it</w:t>
            </w:r>
          </w:p>
        </w:tc>
        <w:tc>
          <w:tcPr>
            <w:tcW w:type="dxa" w:w="3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Use it when</w:t>
            </w:r>
          </w:p>
        </w:tc>
        <w:tc>
          <w:tcPr>
            <w:tcW w:type="dxa" w:w="328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What you get</w:t>
            </w:r>
          </w:p>
        </w:tc>
      </w:tr>
      <w:tr>
        <w:tc>
          <w:tcPr>
            <w:tcW w:type="dxa" w:w="12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0.82</w:t>
            </w:r>
          </w:p>
        </w:tc>
        <w:tc>
          <w:tcPr>
            <w:tcW w:type="dxa" w:w="2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Compatibility-first (default)</w:t>
            </w:r>
          </w:p>
        </w:tc>
        <w:tc>
          <w:tcPr>
            <w:tcW w:type="dxa" w:w="3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 false alarm wastes a formulator's week.</w:t>
            </w:r>
          </w:p>
        </w:tc>
        <w:tc>
          <w:tcPr>
            <w:tcW w:type="dxa" w:w="328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Official test: 14 FP / 595. Named set: 0 FP / 12. Misses more real incompatibles.</w:t>
            </w:r>
          </w:p>
        </w:tc>
      </w:tr>
      <w:tr>
        <w:tc>
          <w:tcPr>
            <w:tcW w:type="dxa" w:w="12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0.60</w:t>
            </w:r>
          </w:p>
        </w:tc>
        <w:tc>
          <w:tcPr>
            <w:tcW w:type="dxa" w:w="2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Incompatibility screen</w:t>
            </w:r>
          </w:p>
        </w:tc>
        <w:tc>
          <w:tcPr>
            <w:tcW w:type="dxa" w:w="3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Missing a real reaction is the expensive error.</w:t>
            </w:r>
          </w:p>
        </w:tc>
        <w:tc>
          <w:tcPr>
            <w:tcW w:type="dxa" w:w="328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Named set: 11/12 incompatibles, 1 compatible FP. Do not retune official test on 24 rows.</w:t>
            </w:r>
          </w:p>
        </w:tc>
      </w:tr>
    </w:tbl>
    <w:p>
      <w:pPr>
        <w:spacing w:after="200" w:before="60"/>
        <w:jc w:val="center"/>
      </w:pPr>
      <w:r>
        <w:rPr>
          <w:rFonts w:ascii="Arial" w:cs="Arial" w:eastAsia="Arial" w:hAnsi="Arial"/>
          <w:i/>
          <w:iCs/>
          <w:color w:val="34495E"/>
          <w:sz w:val="18"/>
          <w:szCs w:val="18"/>
        </w:rPr>
        <w:t xml:space="preserve">Table 17. Product choice, not a second model.</w:t>
      </w:r>
    </w:p>
    <w:p>
      <w:pPr>
        <w:spacing w:after="80" w:before="80" w:line="276"/>
      </w:pPr>
      <w:r>
        <w:rPr>
          <w:rFonts w:ascii="Arial" w:cs="Arial" w:eastAsia="Arial" w:hAnsi="Arial"/>
          <w:b w:val="false"/>
          <w:bCs w:val="false"/>
          <w:i w:val="false"/>
          <w:iCs w:val="false"/>
          <w:color w:val="222222"/>
          <w:sz w:val="22"/>
          <w:szCs w:val="22"/>
        </w:rPr>
        <w:t xml:space="preserve">Ship 0.82 as the default. Offer 0.60 as an explicit “screen mode.” Do not search for a third cut on the 24-row file and then call it the official number.</w:t>
      </w:r>
    </w:p>
    <w:p>
      <w:pPr>
        <w:pStyle w:val="Heading1"/>
        <w:pBdr>
          <w:bottom w:val="single" w:color="1F4E79" w:sz="12" w:space="4"/>
        </w:pBdr>
        <w:spacing w:after="160" w:before="360"/>
      </w:pPr>
      <w:r>
        <w:rPr>
          <w:rFonts w:ascii="Arial" w:cs="Arial" w:eastAsia="Arial" w:hAnsi="Arial"/>
          <w:b/>
          <w:bCs/>
          <w:color w:val="1F4E79"/>
          <w:sz w:val="32"/>
          <w:szCs w:val="32"/>
        </w:rPr>
        <w:t xml:space="preserve">8.  How this is not Nguyen 2024, and not PARDHU's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740"/>
        <w:gridCol w:w="2740"/>
      </w:tblGrid>
      <w:tr>
        <w:trPr>
          <w:tblHeader/>
        </w:trPr>
        <w:tc>
          <w:tcPr>
            <w:tcW w:type="dxa" w:w="20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
            </w:r>
          </w:p>
        </w:tc>
        <w:tc>
          <w:tcPr>
            <w:tcW w:type="dxa" w:w="260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PARDHU's model</w:t>
            </w:r>
          </w:p>
        </w:tc>
        <w:tc>
          <w:tcPr>
            <w:tcW w:type="dxa" w:w="274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Nguyen 2024</w:t>
            </w:r>
          </w:p>
        </w:tc>
        <w:tc>
          <w:tcPr>
            <w:tcW w:type="dxa" w:w="2740"/>
            <w:tcBorders>
              <w:top w:val="single" w:color="BFCFDC" w:sz="4"/>
              <w:left w:val="single" w:color="BFCFDC" w:sz="4"/>
              <w:bottom w:val="single" w:color="BFCFDC" w:sz="4"/>
              <w:right w:val="single" w:color="BFCFDC"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Gated Bilinear PairNet</w:t>
            </w:r>
          </w:p>
        </w:tc>
      </w:tr>
      <w:tr>
        <w:tc>
          <w:tcPr>
            <w:tcW w:type="dxa" w:w="2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Encoder</w:t>
            </w:r>
          </w:p>
        </w:tc>
        <w:tc>
          <w:tcPr>
            <w:tcW w:type="dxa" w:w="2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MACCS proj + 21 desc</w:t>
            </w:r>
          </w:p>
        </w:tc>
        <w:tc>
          <w:tcPr>
            <w:tcW w:type="dxa" w:w="27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Mol2vec</w:t>
            </w:r>
          </w:p>
        </w:tc>
        <w:tc>
          <w:tcPr>
            <w:tcW w:type="dxa" w:w="27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Dual towers: MACCS + Morgan + desc + flags</w:t>
            </w:r>
          </w:p>
        </w:tc>
      </w:tr>
      <w:tr>
        <w:tc>
          <w:tcPr>
            <w:tcW w:type="dxa" w:w="2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Pair operator</w:t>
            </w:r>
          </w:p>
        </w:tc>
        <w:tc>
          <w:tcPr>
            <w:tcW w:type="dxa" w:w="2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concat + ⊙ + |diff|</w:t>
            </w:r>
          </w:p>
        </w:tc>
        <w:tc>
          <w:tcPr>
            <w:tcW w:type="dxa" w:w="27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None (flat vector into trees)</w:t>
            </w:r>
          </w:p>
        </w:tc>
        <w:tc>
          <w:tcPr>
            <w:tcW w:type="dxa" w:w="27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Those three, plus rank-16 bilinear</w:t>
            </w:r>
          </w:p>
        </w:tc>
      </w:tr>
      <w:tr>
        <w:tc>
          <w:tcPr>
            <w:tcW w:type="dxa" w:w="2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Excipient rate</w:t>
            </w:r>
          </w:p>
        </w:tc>
        <w:tc>
          <w:tcPr>
            <w:tcW w:type="dxa" w:w="2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Unused (bias only)</w:t>
            </w:r>
          </w:p>
        </w:tc>
        <w:tc>
          <w:tcPr>
            <w:tcW w:type="dxa" w:w="27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Unused</w:t>
            </w:r>
          </w:p>
        </w:tc>
        <w:tc>
          <w:tcPr>
            <w:tcW w:type="dxa" w:w="27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Gate + residual logit</w:t>
            </w:r>
          </w:p>
        </w:tc>
      </w:tr>
      <w:tr>
        <w:tc>
          <w:tcPr>
            <w:tcW w:type="dxa" w:w="2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Imbalance</w:t>
            </w:r>
          </w:p>
        </w:tc>
        <w:tc>
          <w:tcPr>
            <w:tcW w:type="dxa" w:w="2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Sampler AND pos_weight</w:t>
            </w:r>
          </w:p>
        </w:tc>
        <w:tc>
          <w:tcPr>
            <w:tcW w:type="dxa" w:w="27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SVM-SMOTE</w:t>
            </w:r>
          </w:p>
        </w:tc>
        <w:tc>
          <w:tcPr>
            <w:tcW w:type="dxa" w:w="27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Focal γ_neg = 2.5, no sampler</w:t>
            </w:r>
          </w:p>
        </w:tc>
      </w:tr>
      <w:tr>
        <w:tc>
          <w:tcPr>
            <w:tcW w:type="dxa" w:w="2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Head</w:t>
            </w:r>
          </w:p>
        </w:tc>
        <w:tc>
          <w:tcPr>
            <w:tcW w:type="dxa" w:w="2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MLP</w:t>
            </w:r>
          </w:p>
        </w:tc>
        <w:tc>
          <w:tcPr>
            <w:tcW w:type="dxa" w:w="27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XGB + RF + AdaBoost + LR stack</w:t>
            </w:r>
          </w:p>
        </w:tc>
        <w:tc>
          <w:tcPr>
            <w:tcW w:type="dxa" w:w="27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MLP residual only</w:t>
            </w:r>
          </w:p>
        </w:tc>
      </w:tr>
      <w:tr>
        <w:tc>
          <w:tcPr>
            <w:tcW w:type="dxa" w:w="20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Split</w:t>
            </w:r>
          </w:p>
        </w:tc>
        <w:tc>
          <w:tcPr>
            <w:tcW w:type="dxa" w:w="260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API-cluster</w:t>
            </w:r>
          </w:p>
        </w:tc>
        <w:tc>
          <w:tcPr>
            <w:tcW w:type="dxa" w:w="27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Random (leaky)</w:t>
            </w:r>
          </w:p>
        </w:tc>
        <w:tc>
          <w:tcPr>
            <w:tcW w:type="dxa" w:w="2740"/>
            <w:tcBorders>
              <w:top w:val="single" w:color="BFCFDC" w:sz="4"/>
              <w:left w:val="single" w:color="BFCFDC" w:sz="4"/>
              <w:bottom w:val="single" w:color="BFCFDC" w:sz="4"/>
              <w:right w:val="single" w:color="BFCF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API-cluster</w:t>
            </w:r>
          </w:p>
        </w:tc>
      </w:tr>
      <w:tr>
        <w:tc>
          <w:tcPr>
            <w:tcW w:type="dxa" w:w="20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left"/>
            </w:pPr>
            <w:r>
              <w:rPr>
                <w:rFonts w:ascii="Arial" w:cs="Arial" w:eastAsia="Arial" w:hAnsi="Arial"/>
                <w:b/>
                <w:bCs/>
                <w:color w:val="222222"/>
                <w:sz w:val="17"/>
                <w:szCs w:val="17"/>
              </w:rPr>
              <w:t xml:space="preserve">Default cut</w:t>
            </w:r>
          </w:p>
        </w:tc>
        <w:tc>
          <w:tcPr>
            <w:tcW w:type="dxa" w:w="260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0.957 from val F1</w:t>
            </w:r>
          </w:p>
        </w:tc>
        <w:tc>
          <w:tcPr>
            <w:tcW w:type="dxa" w:w="27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Paper-specific</w:t>
            </w:r>
          </w:p>
        </w:tc>
        <w:tc>
          <w:tcPr>
            <w:tcW w:type="dxa" w:w="2740"/>
            <w:tcBorders>
              <w:top w:val="single" w:color="BFCFDC" w:sz="4"/>
              <w:left w:val="single" w:color="BFCFDC" w:sz="4"/>
              <w:bottom w:val="single" w:color="BFCFDC" w:sz="4"/>
              <w:right w:val="single" w:color="BFCFDC" w:sz="4"/>
            </w:tcBorders>
            <w:shd w:fill="EAF2F8" w:val="clear"/>
            <w:tcMar>
              <w:top w:type="dxa" w:w="60"/>
              <w:left w:type="dxa" w:w="80"/>
              <w:bottom w:type="dxa" w:w="60"/>
              <w:right w:type="dxa" w:w="80"/>
            </w:tcMar>
            <w:vAlign w:val="center"/>
          </w:tcPr>
          <w:p>
            <w:pPr>
              <w:jc w:val="center"/>
            </w:pPr>
            <w:r>
              <w:rPr>
                <w:rFonts w:ascii="Arial" w:cs="Arial" w:eastAsia="Arial" w:hAnsi="Arial"/>
                <w:b w:val="false"/>
                <w:bCs w:val="false"/>
                <w:color w:val="222222"/>
                <w:sz w:val="17"/>
                <w:szCs w:val="17"/>
              </w:rPr>
              <w:t xml:space="preserve">0.82 compat-first; 0.60 screen</w:t>
            </w:r>
          </w:p>
        </w:tc>
      </w:tr>
    </w:tbl>
    <w:p>
      <w:pPr>
        <w:spacing w:after="200" w:before="60"/>
        <w:jc w:val="center"/>
      </w:pPr>
      <w:r>
        <w:rPr>
          <w:rFonts w:ascii="Arial" w:cs="Arial" w:eastAsia="Arial" w:hAnsi="Arial"/>
          <w:i/>
          <w:iCs/>
          <w:color w:val="34495E"/>
          <w:sz w:val="18"/>
          <w:szCs w:val="18"/>
        </w:rPr>
        <w:t xml:space="preserve">Table 18. Three different systems. The bilinear + gate is the part a tree stack cannot copy inside one forward pass.</w:t>
      </w:r>
    </w:p>
    <w:p>
      <w:pPr>
        <w:pStyle w:val="Heading1"/>
        <w:pBdr>
          <w:bottom w:val="single" w:color="1F4E79" w:sz="12" w:space="4"/>
        </w:pBdr>
        <w:spacing w:after="160" w:before="360"/>
      </w:pPr>
      <w:r>
        <w:rPr>
          <w:rFonts w:ascii="Arial" w:cs="Arial" w:eastAsia="Arial" w:hAnsi="Arial"/>
          <w:b/>
          <w:bCs/>
          <w:color w:val="1F4E79"/>
          <w:sz w:val="32"/>
          <w:szCs w:val="32"/>
        </w:rPr>
        <w:t xml:space="preserve">9.  When it still fails</w:t>
      </w:r>
    </w:p>
    <w:p>
      <w:pPr>
        <w:pStyle w:val="ListParagraph"/>
        <w:numPr>
          <w:ilvl w:val="0"/>
          <w:numId w:val="2"/>
        </w:numPr>
        <w:spacing w:after="40" w:before="40" w:line="260"/>
      </w:pPr>
      <w:r>
        <w:rPr>
          <w:rFonts w:ascii="Arial" w:cs="Arial" w:eastAsia="Arial" w:hAnsi="Arial"/>
          <w:b/>
          <w:bCs/>
          <w:color w:val="222222"/>
          <w:sz w:val="22"/>
          <w:szCs w:val="22"/>
        </w:rPr>
        <w:t xml:space="preserve">Unseen cellulose ethers. </w:t>
      </w:r>
      <w:r>
        <w:rPr>
          <w:rFonts w:ascii="Arial" w:cs="Arial" w:eastAsia="Arial" w:hAnsi="Arial"/>
          <w:color w:val="222222"/>
          <w:sz w:val="22"/>
          <w:szCs w:val="22"/>
        </w:rPr>
        <w:t xml:space="preserve">HPMC / MC / HPC stereo forms that do not match train fall back to prior 0.094 and a half-open gate. Fix: map those polymers to prior ≈ 0, or add a polymer flag.</w:t>
      </w:r>
    </w:p>
    <w:p>
      <w:pPr>
        <w:pStyle w:val="ListParagraph"/>
        <w:numPr>
          <w:ilvl w:val="0"/>
          <w:numId w:val="2"/>
        </w:numPr>
        <w:spacing w:after="40" w:before="40" w:line="260"/>
      </w:pPr>
      <w:r>
        <w:rPr>
          <w:rFonts w:ascii="Arial" w:cs="Arial" w:eastAsia="Arial" w:hAnsi="Arial"/>
          <w:b/>
          <w:bCs/>
          <w:color w:val="222222"/>
          <w:sz w:val="22"/>
          <w:szCs w:val="22"/>
        </w:rPr>
        <w:t xml:space="preserve">Incomplete salt SMILES. </w:t>
      </w:r>
      <w:r>
        <w:rPr>
          <w:rFonts w:ascii="Arial" w:cs="Arial" w:eastAsia="Arial" w:hAnsi="Arial"/>
          <w:color w:val="222222"/>
          <w:sz w:val="22"/>
          <w:szCs w:val="22"/>
        </w:rPr>
        <w:t xml:space="preserve">The 24-row file writes magaldrate-like silicates as a short ion list. The prior is unseen and the score sits near 0.60.</w:t>
      </w:r>
    </w:p>
    <w:p>
      <w:pPr>
        <w:pStyle w:val="ListParagraph"/>
        <w:numPr>
          <w:ilvl w:val="0"/>
          <w:numId w:val="2"/>
        </w:numPr>
        <w:spacing w:after="40" w:before="40" w:line="260"/>
      </w:pPr>
      <w:r>
        <w:rPr>
          <w:rFonts w:ascii="Arial" w:cs="Arial" w:eastAsia="Arial" w:hAnsi="Arial"/>
          <w:b/>
          <w:bCs/>
          <w:color w:val="222222"/>
          <w:sz w:val="22"/>
          <w:szCs w:val="22"/>
        </w:rPr>
        <w:t xml:space="preserve">Anhydrous lactose vs lactose monohydrate. </w:t>
      </w:r>
      <w:r>
        <w:rPr>
          <w:rFonts w:ascii="Arial" w:cs="Arial" w:eastAsia="Arial" w:hAnsi="Arial"/>
          <w:color w:val="222222"/>
          <w:sz w:val="22"/>
          <w:szCs w:val="22"/>
        </w:rPr>
        <w:t xml:space="preserve">They canonicalize to different keys (priors 0.26 vs 0.017). Same chemistry, different score. Fix: hydrate-invariant canon.</w:t>
      </w:r>
    </w:p>
    <w:p>
      <w:pPr>
        <w:pStyle w:val="ListParagraph"/>
        <w:numPr>
          <w:ilvl w:val="0"/>
          <w:numId w:val="2"/>
        </w:numPr>
        <w:spacing w:after="40" w:before="40" w:line="260"/>
      </w:pPr>
      <w:r>
        <w:rPr>
          <w:rFonts w:ascii="Arial" w:cs="Arial" w:eastAsia="Arial" w:hAnsi="Arial"/>
          <w:b/>
          <w:bCs/>
          <w:color w:val="222222"/>
          <w:sz w:val="22"/>
          <w:szCs w:val="22"/>
        </w:rPr>
        <w:t xml:space="preserve">Rare mechanism + “safe” excipient. </w:t>
      </w:r>
      <w:r>
        <w:rPr>
          <w:rFonts w:ascii="Arial" w:cs="Arial" w:eastAsia="Arial" w:hAnsi="Arial"/>
          <w:color w:val="222222"/>
          <w:sz w:val="22"/>
          <w:szCs w:val="22"/>
        </w:rPr>
        <w:t xml:space="preserve">Acetazolamide × mannitol. The prior fights the pair. This is the honest miss.</w:t>
      </w:r>
    </w:p>
    <w:p>
      <w:pPr>
        <w:pStyle w:val="Heading1"/>
        <w:pBdr>
          <w:bottom w:val="single" w:color="1F4E79" w:sz="12" w:space="4"/>
        </w:pBdr>
        <w:spacing w:after="160" w:before="360"/>
      </w:pPr>
      <w:r>
        <w:rPr>
          <w:rFonts w:ascii="Arial" w:cs="Arial" w:eastAsia="Arial" w:hAnsi="Arial"/>
          <w:b/>
          <w:bCs/>
          <w:color w:val="1F4E79"/>
          <w:sz w:val="32"/>
          <w:szCs w:val="32"/>
        </w:rPr>
        <w:t xml:space="preserve">10.  What to report, if someone asks for one slide</w:t>
      </w:r>
    </w:p>
    <w:p>
      <w:pPr>
        <w:pStyle w:val="ListParagraph"/>
        <w:numPr>
          <w:ilvl w:val="0"/>
          <w:numId w:val="2"/>
        </w:numPr>
        <w:spacing w:after="40" w:before="40" w:line="260"/>
      </w:pPr>
      <w:r>
        <w:rPr>
          <w:rFonts w:ascii="Arial" w:cs="Arial" w:eastAsia="Arial" w:hAnsi="Arial"/>
          <w:color w:val="222222"/>
          <w:sz w:val="22"/>
          <w:szCs w:val="22"/>
        </w:rPr>
        <w:t xml:space="preserve">Leaderboard: official test PR-AUC 0.73, MCC 0.61, 14 false alarms on 595 compatible pairs (TNR 0.98) at t = 0.82.</w:t>
      </w:r>
    </w:p>
    <w:p>
      <w:pPr>
        <w:pStyle w:val="ListParagraph"/>
        <w:numPr>
          <w:ilvl w:val="0"/>
          <w:numId w:val="2"/>
        </w:numPr>
        <w:spacing w:after="40" w:before="40" w:line="260"/>
      </w:pPr>
      <w:r>
        <w:rPr>
          <w:rFonts w:ascii="Arial" w:cs="Arial" w:eastAsia="Arial" w:hAnsi="Arial"/>
          <w:color w:val="222222"/>
          <w:sz w:val="22"/>
          <w:szCs w:val="22"/>
        </w:rPr>
        <w:t xml:space="preserve">Versus PARDHU's model on the same test: PR-AUC 0.50 → 0.73, MCC 0.41 → 0.61, false alarms 56 → 14. Incompatible catch 42/77 → 43/77.</w:t>
      </w:r>
    </w:p>
    <w:p>
      <w:pPr>
        <w:pStyle w:val="ListParagraph"/>
        <w:numPr>
          <w:ilvl w:val="0"/>
          <w:numId w:val="2"/>
        </w:numPr>
        <w:spacing w:after="40" w:before="40" w:line="260"/>
      </w:pPr>
      <w:r>
        <w:rPr>
          <w:rFonts w:ascii="Arial" w:cs="Arial" w:eastAsia="Arial" w:hAnsi="Arial"/>
          <w:color w:val="222222"/>
          <w:sz w:val="22"/>
          <w:szCs w:val="22"/>
        </w:rPr>
        <w:t xml:space="preserve">Compatibility claim on the 24 named pairs: 12/12 correct at the same shipped cut.</w:t>
      </w:r>
    </w:p>
    <w:p>
      <w:pPr>
        <w:pStyle w:val="ListParagraph"/>
        <w:numPr>
          <w:ilvl w:val="0"/>
          <w:numId w:val="2"/>
        </w:numPr>
        <w:spacing w:after="40" w:before="40" w:line="260"/>
      </w:pPr>
      <w:r>
        <w:rPr>
          <w:rFonts w:ascii="Arial" w:cs="Arial" w:eastAsia="Arial" w:hAnsi="Arial"/>
          <w:color w:val="222222"/>
          <w:sz w:val="22"/>
          <w:szCs w:val="22"/>
        </w:rPr>
        <w:t xml:space="preserve">Screening claim: 11/12 Nguyen incompatibles at t = 0.60, one compatible false alarm (fenofibrate × sucrose). Only miss: acetazolamide × mannitol.</w:t>
      </w:r>
    </w:p>
    <w:p>
      <w:pPr>
        <w:pStyle w:val="ListParagraph"/>
        <w:numPr>
          <w:ilvl w:val="0"/>
          <w:numId w:val="2"/>
        </w:numPr>
        <w:spacing w:after="40" w:before="40" w:line="260"/>
      </w:pPr>
      <w:r>
        <w:rPr>
          <w:rFonts w:ascii="Arial" w:cs="Arial" w:eastAsia="Arial" w:hAnsi="Arial"/>
          <w:color w:val="222222"/>
          <w:sz w:val="22"/>
          <w:szCs w:val="22"/>
        </w:rPr>
        <w:t xml:space="preserve">Do not pick the architecture from the 3-positive polymer file.</w:t>
      </w:r>
    </w:p>
    <w:p>
      <w:pPr>
        <w:spacing w:after="80" w:before="200" w:line="276"/>
      </w:pPr>
      <w:r>
        <w:rPr>
          <w:rFonts w:ascii="Arial" w:cs="Arial" w:eastAsia="Arial" w:hAnsi="Arial"/>
          <w:b w:val="false"/>
          <w:bCs w:val="false"/>
          <w:i w:val="false"/>
          <w:iCs w:val="false"/>
          <w:color w:val="34495E"/>
          <w:sz w:val="20"/>
          <w:szCs w:val="20"/>
        </w:rPr>
        <w:t xml:space="preserve">Checkpoint: gated_bilinear_pairnet.pt.  Script: gated_bilinear_pairnet.py.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DC" w:sz="6" w:space="6"/>
      </w:pBdr>
      <w:spacing w:before="80"/>
    </w:pPr>
    <w:r>
      <w:rPr>
        <w:rFonts w:ascii="Arial" w:cs="Arial" w:eastAsia="Arial" w:hAnsi="Arial"/>
        <w:color w:val="34495E"/>
        <w:sz w:val="16"/>
        <w:szCs w:val="16"/>
      </w:rPr>
      <w:t xml:space="preserve">Internal model note  ·  API–excipient incompatibility  ·  Page </w:t>
    </w:r>
    <w:r>
      <w:rPr>
        <w:rFonts w:ascii="Arial" w:cs="Arial" w:eastAsia="Arial" w:hAnsi="Arial"/>
        <w:color w:val="3449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spacing w:after="80"/>
    </w:pPr>
    <w:r>
      <w:rPr>
        <w:rFonts w:ascii="Arial" w:cs="Arial" w:eastAsia="Arial" w:hAnsi="Arial"/>
        <w:b/>
        <w:bCs/>
        <w:color w:val="1F4E79"/>
        <w:sz w:val="18"/>
        <w:szCs w:val="18"/>
      </w:rPr>
      <w:t xml:space="preserve">Gated Bilinear PairNet</w:t>
    </w:r>
    <w:r>
      <w:rPr>
        <w:rFonts w:ascii="Arial" w:cs="Arial" w:eastAsia="Arial" w:hAnsi="Arial"/>
        <w:color w:val="34495E"/>
        <w:sz w:val="16"/>
        <w:szCs w:val="16"/>
      </w:rPr>
      <w:t xml:space="preserve">    ·    Architecture, changes from PARDHU's model, and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00bdf2ad946b8b45aa037ef2ef413545065b33.png"/><Relationship Id="rId10" Type="http://schemas.openxmlformats.org/officeDocument/2006/relationships/image" Target="media/f845704790e382da826fff0d826684c514d3c282.png"/><Relationship Id="rId11" Type="http://schemas.openxmlformats.org/officeDocument/2006/relationships/image" Target="media/1d3b4ed190dd3400a644af8362eb433adfe52268.png"/><Relationship Id="rId12" Type="http://schemas.openxmlformats.org/officeDocument/2006/relationships/image" Target="media/9fd82769f9b3f2388169365901517c1ecf1ec3b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2026-09-30T08:04:32.555Z</dcterms:created>
  <dcterms:modified xsi:type="dcterms:W3CDTF">2026-09-30T08:04:32.555Z</dcterms:modified>
</cp:coreProperties>
</file>

<file path=docProps/custom.xml><?xml version="1.0" encoding="utf-8"?>
<Properties xmlns="http://schemas.openxmlformats.org/officeDocument/2006/custom-properties" xmlns:vt="http://schemas.openxmlformats.org/officeDocument/2006/docPropsVTypes"/>
</file>