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B0953" w14:textId="77777777" w:rsidR="005D2875" w:rsidRPr="009013E5" w:rsidRDefault="00B855E4" w:rsidP="009C0BBB">
      <w:pPr>
        <w:spacing w:before="200" w:after="240"/>
        <w:jc w:val="center"/>
      </w:pPr>
      <w:r w:rsidRPr="009013E5">
        <w:rPr>
          <w:b/>
          <w:bCs/>
          <w:sz w:val="40"/>
          <w:szCs w:val="40"/>
        </w:rPr>
        <w:t>大语言模型推理模式对比实验报告</w:t>
      </w:r>
    </w:p>
    <w:p w14:paraId="3D2E70B3" w14:textId="450B9D39" w:rsidR="005D2875" w:rsidRDefault="00B855E4" w:rsidP="009C0BBB">
      <w:pPr>
        <w:spacing w:after="160" w:line="300" w:lineRule="auto"/>
        <w:ind w:firstLine="420"/>
      </w:pPr>
      <w:r>
        <w:t>本报告围绕多模态虚假新闻检测这一具体研究方向，设计了三道</w:t>
      </w:r>
      <w:r w:rsidRPr="00112A40">
        <w:rPr>
          <w:b/>
          <w:bCs/>
        </w:rPr>
        <w:t>覆盖知识广度、方法论推理与研究设计能力的学术性任务（综述类</w:t>
      </w:r>
      <w:r w:rsidRPr="00112A40">
        <w:rPr>
          <w:b/>
          <w:bCs/>
        </w:rPr>
        <w:t xml:space="preserve"> T1</w:t>
      </w:r>
      <w:r w:rsidRPr="00112A40">
        <w:rPr>
          <w:b/>
          <w:bCs/>
        </w:rPr>
        <w:t>、方法对比类</w:t>
      </w:r>
      <w:r w:rsidRPr="00112A40">
        <w:rPr>
          <w:b/>
          <w:bCs/>
        </w:rPr>
        <w:t xml:space="preserve"> T2</w:t>
      </w:r>
      <w:r w:rsidRPr="00112A40">
        <w:rPr>
          <w:b/>
          <w:bCs/>
        </w:rPr>
        <w:t>、研究设计类</w:t>
      </w:r>
      <w:r w:rsidRPr="00112A40">
        <w:rPr>
          <w:b/>
          <w:bCs/>
        </w:rPr>
        <w:t xml:space="preserve"> T3</w:t>
      </w:r>
      <w:r w:rsidRPr="00112A40">
        <w:rPr>
          <w:b/>
          <w:bCs/>
        </w:rPr>
        <w:t>）</w:t>
      </w:r>
      <w:r>
        <w:t>，并在两组相互独立的实验中，考察</w:t>
      </w:r>
      <w:r w:rsidRPr="00112A40">
        <w:rPr>
          <w:b/>
          <w:bCs/>
        </w:rPr>
        <w:t>深度思考模式相对普通模式</w:t>
      </w:r>
      <w:r>
        <w:t>在输出质量、推理深度与幻觉风险上的系统性差异。第一组实验通过</w:t>
      </w:r>
      <w:r>
        <w:t xml:space="preserve"> API </w:t>
      </w:r>
      <w:r>
        <w:t>精确控制</w:t>
      </w:r>
      <w:r>
        <w:t xml:space="preserve"> DeepSeek-V4-Pro </w:t>
      </w:r>
      <w:r>
        <w:t>的思考链开关，第二组实验通过官方</w:t>
      </w:r>
      <w:r>
        <w:t xml:space="preserve"> Chatbox </w:t>
      </w:r>
      <w:r>
        <w:t>分别调用</w:t>
      </w:r>
      <w:r>
        <w:t xml:space="preserve"> Gemini 3.1 Pro</w:t>
      </w:r>
      <w:r>
        <w:t>（默认启用深度思考）与</w:t>
      </w:r>
      <w:r>
        <w:t xml:space="preserve"> Gemini 3.5 Flash</w:t>
      </w:r>
      <w:r>
        <w:t>（不具备</w:t>
      </w:r>
      <w:r>
        <w:t>/</w:t>
      </w:r>
      <w:r>
        <w:t>未启用思考链）完成同一组任务。</w:t>
      </w:r>
    </w:p>
    <w:p w14:paraId="39A65E11" w14:textId="18F099C8" w:rsidR="005D2875" w:rsidRDefault="00B855E4">
      <w:pPr>
        <w:spacing w:after="160" w:line="300" w:lineRule="auto"/>
        <w:ind w:firstLine="480"/>
      </w:pPr>
      <w:r>
        <w:t>综合两组实验可以看到一个跨模型的共性结论：深度思考模式在几乎所有任务上都会让回答的结构更完整、技术细节更丰富、具名引用更密集，并且这种增益在研究设计类任务（</w:t>
      </w:r>
      <w:r>
        <w:t>T3</w:t>
      </w:r>
      <w:r>
        <w:t>）上表现得最为突出</w:t>
      </w:r>
      <w:r w:rsidR="00D328A7">
        <w:rPr>
          <w:rFonts w:hint="eastAsia"/>
        </w:rPr>
        <w:t>，</w:t>
      </w:r>
      <w:r>
        <w:t>两个模型的深度思考版本都专门设计出了普通模式未曾触及的、针对大模型作为检测器这一问题的评估指标。但这种增益并非没有代价</w:t>
      </w:r>
      <w:r w:rsidR="00D328A7">
        <w:rPr>
          <w:rFonts w:hint="eastAsia"/>
        </w:rPr>
        <w:t>。</w:t>
      </w:r>
      <w:r>
        <w:t>一方面，深度思考模式普遍会带来更长的输出与更高的时间</w:t>
      </w:r>
      <w:r>
        <w:t>/</w:t>
      </w:r>
      <w:r>
        <w:t>算力开销（</w:t>
      </w:r>
      <w:r>
        <w:t xml:space="preserve">DeepSeek </w:t>
      </w:r>
      <w:r>
        <w:t>组约为普通模式的</w:t>
      </w:r>
      <w:r>
        <w:t xml:space="preserve"> 1.8</w:t>
      </w:r>
      <w:r>
        <w:t>～</w:t>
      </w:r>
      <w:r>
        <w:t xml:space="preserve">2.0 </w:t>
      </w:r>
      <w:r>
        <w:t>倍，</w:t>
      </w:r>
      <w:r>
        <w:t xml:space="preserve">Gemini </w:t>
      </w:r>
      <w:r>
        <w:t>组约为</w:t>
      </w:r>
      <w:r>
        <w:t xml:space="preserve"> 1.3 </w:t>
      </w:r>
      <w:r>
        <w:t>倍，但方向一致）；另一方面，更密集的引用并未换来更高的准确率</w:t>
      </w:r>
      <w:r>
        <w:t>——</w:t>
      </w:r>
      <w:r>
        <w:t>本报告通过实际检索核验发现，</w:t>
      </w:r>
      <w:r>
        <w:t xml:space="preserve">DeepSeek </w:t>
      </w:r>
      <w:r>
        <w:t>与</w:t>
      </w:r>
      <w:r>
        <w:t xml:space="preserve"> Gemini </w:t>
      </w:r>
      <w:r>
        <w:t>的深度思考模式均会给出核心文献确实存在，但会议名称、发表年份等元数据被替换或漂移的细节性错误，且这类错误往往不会被模型自身标注为</w:t>
      </w:r>
      <w:r>
        <w:t xml:space="preserve"> </w:t>
      </w:r>
      <w:r>
        <w:t>不确定，具有较强的迷惑性。相比之下，两个模型的普通模式都倾向于用更保守、更少具名引用的方式作答，代价是牺牲了内容的可验证性与学术含金量。本报告最后针对科研辅助场景给出了先普通模式打底、再对关键结论用深度思考模式补充与核验的级联使用建议，并提出了适用于此类实验的核验方法。</w:t>
      </w:r>
    </w:p>
    <w:p w14:paraId="4B4754F4" w14:textId="32C8FE6D" w:rsidR="00D328A7" w:rsidRDefault="00D328A7" w:rsidP="00D328A7">
      <w:pPr>
        <w:pStyle w:val="1"/>
      </w:pPr>
      <w:r w:rsidRPr="00D328A7">
        <w:rPr>
          <w:rFonts w:hint="eastAsia"/>
        </w:rPr>
        <w:t>一、实验背景与总体设计</w:t>
      </w:r>
    </w:p>
    <w:p w14:paraId="700BFB6D" w14:textId="563F08F4" w:rsidR="005D2875" w:rsidRDefault="00B855E4">
      <w:pPr>
        <w:pStyle w:val="2"/>
      </w:pPr>
      <w:r>
        <w:t>1.1 研究背景与目的</w:t>
      </w:r>
    </w:p>
    <w:p w14:paraId="16B97F2F" w14:textId="54FB7691" w:rsidR="005D2875" w:rsidRDefault="00B855E4">
      <w:pPr>
        <w:spacing w:after="160" w:line="300" w:lineRule="auto"/>
        <w:ind w:firstLine="480"/>
      </w:pPr>
      <w:r>
        <w:t>随着大语言模型逐步具备慢思考（显式思维链、可调节推理强度）的能力，越来越多的模型产品线开始区分普通模式与深度思考模式两种工作方式，供用户按任务复杂度自行选择。对科研辅助场景而言，这一选择并非没有代价的免费午餐</w:t>
      </w:r>
      <w:r w:rsidR="009013E5">
        <w:rPr>
          <w:rFonts w:hint="eastAsia"/>
        </w:rPr>
        <w:t>，</w:t>
      </w:r>
      <w:r>
        <w:t>深度思考模式通常意味着更高的时间成本、更高的</w:t>
      </w:r>
      <w:r>
        <w:t xml:space="preserve"> token </w:t>
      </w:r>
      <w:r>
        <w:t>消耗（对应更高的调用费用），因此有必要以一个具体、贴近真实科研工作流的研究问题为背景，系统考察是否启用深度思考对模型输出质量、推理深度与幻觉风险究竟带来了怎样的实际影响，从而为研究者的日常模型选择提供依据。</w:t>
      </w:r>
    </w:p>
    <w:p w14:paraId="6550E7D8" w14:textId="38084D33" w:rsidR="005D2875" w:rsidRDefault="00B855E4">
      <w:pPr>
        <w:spacing w:after="160" w:line="300" w:lineRule="auto"/>
        <w:ind w:firstLine="480"/>
      </w:pPr>
      <w:r>
        <w:t>本报告以多模态虚假新闻检测这一具体研究方向为背景问题，选取了两个不同厂商、不同技术路线的模型家族</w:t>
      </w:r>
      <w:r>
        <w:t xml:space="preserve">——DeepSeek-V4-Pro </w:t>
      </w:r>
      <w:r>
        <w:t>与</w:t>
      </w:r>
      <w:r>
        <w:t xml:space="preserve"> Gemini 3 </w:t>
      </w:r>
      <w:r>
        <w:t>系列</w:t>
      </w:r>
      <w:r>
        <w:t>——</w:t>
      </w:r>
      <w:r>
        <w:t>分别在其普通模式与深度思考模式下完成同一组任务，既在单一模型内部形成纵向对比，也在整合报告的最后一部分形成跨模型的横向对比，从而尽可能全面地回答实践任务所要求的三个核心问题：模型间的输出差异、推理模式带来的性能提升，以及在此过程中观察到的幻觉现象。</w:t>
      </w:r>
    </w:p>
    <w:p w14:paraId="6BDB2507" w14:textId="77777777" w:rsidR="005D2875" w:rsidRDefault="00B855E4">
      <w:pPr>
        <w:pStyle w:val="2"/>
      </w:pPr>
      <w:r>
        <w:lastRenderedPageBreak/>
        <w:t>1.2 任务设计</w:t>
      </w:r>
    </w:p>
    <w:p w14:paraId="51287C65" w14:textId="0C0BE070" w:rsidR="005D2875" w:rsidRDefault="00B855E4">
      <w:pPr>
        <w:spacing w:after="160" w:line="300" w:lineRule="auto"/>
        <w:ind w:firstLine="480"/>
      </w:pPr>
      <w:r>
        <w:t>为保证两组实验之间具备可比性，本报告的三道任务与</w:t>
      </w:r>
      <w:r>
        <w:t xml:space="preserve"> system prompt </w:t>
      </w:r>
      <w:r>
        <w:t>在</w:t>
      </w:r>
      <w:r>
        <w:t xml:space="preserve"> DeepSeek </w:t>
      </w:r>
      <w:r>
        <w:t>组与</w:t>
      </w:r>
      <w:r>
        <w:t xml:space="preserve"> Gemini </w:t>
      </w:r>
      <w:r>
        <w:t>组之间完全一致，均由同一学术助手角色作答，并统一要求对于不确定的内容请明确标注</w:t>
      </w:r>
      <w:r>
        <w:t xml:space="preserve"> [</w:t>
      </w:r>
      <w:r>
        <w:t>不确定</w:t>
      </w:r>
      <w:r>
        <w:t>]</w:t>
      </w:r>
      <w:r>
        <w:t>，不要编造；如果引用具体论文或数据，请提供完整的引用信息以便核实。三道任务分别考察三种不同性质的科研能力：</w:t>
      </w:r>
    </w:p>
    <w:p w14:paraId="19391C77" w14:textId="32454201" w:rsidR="005D2875" w:rsidRDefault="00B855E4">
      <w:pPr>
        <w:spacing w:after="160" w:line="300" w:lineRule="auto"/>
        <w:ind w:firstLine="480"/>
      </w:pPr>
      <w:r>
        <w:rPr>
          <w:b/>
          <w:bCs/>
        </w:rPr>
        <w:t>T1</w:t>
      </w:r>
      <w:r>
        <w:rPr>
          <w:b/>
          <w:bCs/>
        </w:rPr>
        <w:t>（综述类，知识广度与准确性）：</w:t>
      </w:r>
      <w:r>
        <w:t>要求综述多模态虚假新闻检测中图文不一致检测、跨模态推理、证据获取三个维度的核心技术挑战，并对每个挑战给出代表性解决方案，同时标注引用来源与不确定内容。该题主要用于检验模型的知识广度以及在列举具体方法与文献时的幻觉倾向。</w:t>
      </w:r>
    </w:p>
    <w:p w14:paraId="3F05B8AE" w14:textId="32EBA574" w:rsidR="005D2875" w:rsidRDefault="00B855E4">
      <w:pPr>
        <w:spacing w:after="160" w:line="300" w:lineRule="auto"/>
        <w:ind w:firstLine="480"/>
      </w:pPr>
      <w:r>
        <w:rPr>
          <w:b/>
          <w:bCs/>
        </w:rPr>
        <w:t>T2</w:t>
      </w:r>
      <w:r>
        <w:rPr>
          <w:b/>
          <w:bCs/>
        </w:rPr>
        <w:t>（方法对比类，多步推理）：</w:t>
      </w:r>
      <w:r>
        <w:t>要求从计算复杂度、可解释性、对新型虚假新闻的泛化能力三个维度，比较基于变分自编码器（</w:t>
      </w:r>
      <w:r>
        <w:t>VAE</w:t>
      </w:r>
      <w:r>
        <w:t>）的方法与基于大语言模型多智能体辩论的方法的优缺点，并给出具体技术细节。该题需要模型完成多步骤的横向比较与技术推演，适合观察深度思考模式在组织复杂论证上的优势是否真实存在。</w:t>
      </w:r>
    </w:p>
    <w:p w14:paraId="598AAE92" w14:textId="00C84ABB" w:rsidR="005D2875" w:rsidRDefault="00B855E4">
      <w:pPr>
        <w:spacing w:after="160" w:line="300" w:lineRule="auto"/>
        <w:ind w:firstLine="480"/>
      </w:pPr>
      <w:r>
        <w:rPr>
          <w:b/>
          <w:bCs/>
        </w:rPr>
        <w:t>T3</w:t>
      </w:r>
      <w:r>
        <w:rPr>
          <w:b/>
          <w:bCs/>
        </w:rPr>
        <w:t>（研究设计类，应用型创新）：</w:t>
      </w:r>
      <w:r>
        <w:t>要求设计一个评估大语言模型作为零样本多模态虚假新闻检测器性能的实验，包括评估指标、基线模型选择逻辑，以及至少两类容易产生假阳性的典型样本。该题考察模型在没有现成模板可循的情况下，进行原创性研究设计的能力，也是两组实验中普遍显示深度思考增益最大的题目。</w:t>
      </w:r>
    </w:p>
    <w:p w14:paraId="3857FC31" w14:textId="77777777" w:rsidR="005D2875" w:rsidRDefault="00B855E4">
      <w:pPr>
        <w:pStyle w:val="2"/>
      </w:pPr>
      <w:r>
        <w:t>1.3 两组实验的方法学差异说明</w:t>
      </w:r>
    </w:p>
    <w:p w14:paraId="2272C5E2" w14:textId="1E326C65" w:rsidR="005D2875" w:rsidRDefault="00B855E4">
      <w:pPr>
        <w:spacing w:after="160" w:line="300" w:lineRule="auto"/>
        <w:ind w:firstLine="480"/>
      </w:pPr>
      <w:r>
        <w:t>需要特别说明的是，</w:t>
      </w:r>
      <w:r>
        <w:t xml:space="preserve">DeepSeek </w:t>
      </w:r>
      <w:r>
        <w:t>组与</w:t>
      </w:r>
      <w:r>
        <w:t xml:space="preserve"> Gemini </w:t>
      </w:r>
      <w:r>
        <w:t>组在实验实现方式上存在本质差异，这直接决定了两组结果在数值层面能比什么、不能比什么。</w:t>
      </w:r>
      <w:r>
        <w:t xml:space="preserve">DeepSeek </w:t>
      </w:r>
      <w:r>
        <w:t>组通过</w:t>
      </w:r>
      <w:r>
        <w:t xml:space="preserve"> API </w:t>
      </w:r>
      <w:r>
        <w:t>的</w:t>
      </w:r>
      <w:r>
        <w:t xml:space="preserve"> extra_body </w:t>
      </w:r>
      <w:r>
        <w:t>参数显式控制思考链的启用（</w:t>
      </w:r>
      <w:r>
        <w:t>thinking.type = enabled/disabled</w:t>
      </w:r>
      <w:r>
        <w:t>）与推理强度（</w:t>
      </w:r>
      <w:r>
        <w:t>reasoning_effort = high</w:t>
      </w:r>
      <w:r>
        <w:t>），并可以从返回结果中读取精确的输出</w:t>
      </w:r>
      <w:r>
        <w:t xml:space="preserve"> token </w:t>
      </w:r>
      <w:r>
        <w:t>数、响应耗时、</w:t>
      </w:r>
      <w:r>
        <w:t>finish_reason</w:t>
      </w:r>
      <w:r>
        <w:t>，乃至完整的思考过程原文（</w:t>
      </w:r>
      <w:r>
        <w:t>reasoning_content</w:t>
      </w:r>
      <w:r>
        <w:t>），这使得该组实验具备严格意义上的单一变量对照性质</w:t>
      </w:r>
      <w:r>
        <w:t>——</w:t>
      </w:r>
      <w:r>
        <w:t>两次调用除思考模式开关外，模型本体、参数量、知识范围完全相同。</w:t>
      </w:r>
    </w:p>
    <w:p w14:paraId="281E4007" w14:textId="15B479D3" w:rsidR="005D2875" w:rsidRDefault="00B855E4">
      <w:pPr>
        <w:spacing w:after="160" w:line="300" w:lineRule="auto"/>
        <w:ind w:firstLine="480"/>
      </w:pPr>
      <w:r>
        <w:t xml:space="preserve">Gemini </w:t>
      </w:r>
      <w:r>
        <w:t>组则是通过官方</w:t>
      </w:r>
      <w:r>
        <w:t xml:space="preserve"> Chatbox </w:t>
      </w:r>
      <w:r>
        <w:t>界面，分别向</w:t>
      </w:r>
      <w:r>
        <w:t xml:space="preserve"> Gemini 3.1 Pro</w:t>
      </w:r>
      <w:r>
        <w:t>（旗舰级，默认具备较强的深度思考能力）与</w:t>
      </w:r>
      <w:r>
        <w:t xml:space="preserve"> Gemini 3.5 Flash</w:t>
      </w:r>
      <w:r>
        <w:t>（轻量级，面向速度与成本效率，未启用思考链）提交完全相同的</w:t>
      </w:r>
      <w:r>
        <w:t xml:space="preserve"> system prompt </w:t>
      </w:r>
      <w:r>
        <w:t>与三道任务问题。这一方式无法获取</w:t>
      </w:r>
      <w:r>
        <w:t xml:space="preserve"> API </w:t>
      </w:r>
      <w:r>
        <w:t>级别的</w:t>
      </w:r>
      <w:r>
        <w:t xml:space="preserve"> token </w:t>
      </w:r>
      <w:r>
        <w:t>用量、响应延迟，也无法采集深度思考过程的原始文本（</w:t>
      </w:r>
      <w:r>
        <w:t xml:space="preserve">Chatbox </w:t>
      </w:r>
      <w:r>
        <w:t>界面通常只呈现最终回答，不完整暴露思考过程），因此本报告在</w:t>
      </w:r>
      <w:r>
        <w:t xml:space="preserve"> Gemini </w:t>
      </w:r>
      <w:r>
        <w:t>组采用了以不含空白字符的输出字符数作为篇幅的代理指标，并以具名引用密度（文本中出现符合作者</w:t>
      </w:r>
      <w:r>
        <w:t>+</w:t>
      </w:r>
      <w:r>
        <w:t>年份或会议</w:t>
      </w:r>
      <w:r>
        <w:t>/</w:t>
      </w:r>
      <w:r>
        <w:t>期刊缩写</w:t>
      </w:r>
      <w:r>
        <w:t>+</w:t>
      </w:r>
      <w:r>
        <w:t>年份格式的引用次数）与不确定性标注次数作为质性指标的量化补充；对于关键引用，本报告进一步通过网络检索进行了逐条的存在性与准确性核验，核验方法与结果详见第三、六两部分。此外，</w:t>
      </w:r>
      <w:r>
        <w:t xml:space="preserve">Gemini 3.1 Pro </w:t>
      </w:r>
      <w:r>
        <w:t>与</w:t>
      </w:r>
      <w:r>
        <w:t xml:space="preserve"> Gemini 3.5 Flash </w:t>
      </w:r>
      <w:r>
        <w:t>并非同一模型的开关切换，而是</w:t>
      </w:r>
      <w:r>
        <w:t xml:space="preserve"> Gemini </w:t>
      </w:r>
      <w:r>
        <w:t>产品线中两个独立训练、定位不同的模型，这意味着二者之间观察到的差异，可能是是否深度思考与模型规模</w:t>
      </w:r>
      <w:r>
        <w:t>/</w:t>
      </w:r>
      <w:r>
        <w:t>训练目标两个因素叠加的结果，而不能像</w:t>
      </w:r>
      <w:r>
        <w:t xml:space="preserve"> DeepSeek </w:t>
      </w:r>
      <w:r>
        <w:t>组那样被严格归因为单一变量。本报告在第四部分的跨模型比较中会反复</w:t>
      </w:r>
      <w:r>
        <w:lastRenderedPageBreak/>
        <w:t>提示这一局限，避免读者将两组数字做不恰当的等量对比。</w:t>
      </w:r>
    </w:p>
    <w:p w14:paraId="38891182" w14:textId="5C08BCC7" w:rsidR="00D328A7" w:rsidRDefault="00D328A7" w:rsidP="00D328A7">
      <w:pPr>
        <w:pStyle w:val="1"/>
      </w:pPr>
      <w:r w:rsidRPr="00D328A7">
        <w:rPr>
          <w:rFonts w:hint="eastAsia"/>
        </w:rPr>
        <w:t>二、DeepSeek-V4-Pro：普通模式与深度思考模式对比</w:t>
      </w:r>
    </w:p>
    <w:p w14:paraId="0F89861C" w14:textId="3FF86D62" w:rsidR="005D2875" w:rsidRDefault="00B855E4">
      <w:pPr>
        <w:pStyle w:val="2"/>
      </w:pPr>
      <w:r>
        <w:t>2.1 实验设置</w:t>
      </w:r>
    </w:p>
    <w:p w14:paraId="29EAA82E" w14:textId="218FBE6C" w:rsidR="005D2875" w:rsidRDefault="00B855E4">
      <w:pPr>
        <w:spacing w:after="160" w:line="300" w:lineRule="auto"/>
        <w:ind w:firstLine="480"/>
      </w:pPr>
      <w:r>
        <w:t>本组实验使用</w:t>
      </w:r>
      <w:r>
        <w:t xml:space="preserve"> DeepSeek-V4-Pro </w:t>
      </w:r>
      <w:r>
        <w:t>模型，通过</w:t>
      </w:r>
      <w:r>
        <w:t xml:space="preserve"> API </w:t>
      </w:r>
      <w:r>
        <w:t>的</w:t>
      </w:r>
      <w:r>
        <w:t xml:space="preserve"> extra_body </w:t>
      </w:r>
      <w:r>
        <w:t>参数显式构建两种配置：普通模式（</w:t>
      </w:r>
      <w:r>
        <w:t>thinking.type = disabled</w:t>
      </w:r>
      <w:r>
        <w:t>，完全禁用内部思考链）与深度思考模式（</w:t>
      </w:r>
      <w:r>
        <w:t>thinking.type = enabled</w:t>
      </w:r>
      <w:r>
        <w:t>，并设置</w:t>
      </w:r>
      <w:r>
        <w:t xml:space="preserve"> reasoning_effort = high</w:t>
      </w:r>
      <w:r>
        <w:t>）。两种配置除思考链开关外，其余参数（</w:t>
      </w:r>
      <w:r>
        <w:t>temperature = 0.7</w:t>
      </w:r>
      <w:r>
        <w:t>、</w:t>
      </w:r>
      <w:r>
        <w:t>system prompt</w:t>
      </w:r>
      <w:r>
        <w:t>、任务原文）完全一致，且实验脚本对每一次请求都记录了输出</w:t>
      </w:r>
      <w:r>
        <w:t xml:space="preserve"> token </w:t>
      </w:r>
      <w:r>
        <w:t>数、响应耗时、</w:t>
      </w:r>
      <w:r>
        <w:t>finish_reason</w:t>
      </w:r>
      <w:r>
        <w:t>，并对回答内容做了基于规则的自动化幻觉风险检测（识别具体数字、作者</w:t>
      </w:r>
      <w:r>
        <w:t xml:space="preserve"> et al. (</w:t>
      </w:r>
      <w:r>
        <w:t>年份</w:t>
      </w:r>
      <w:r>
        <w:t>)</w:t>
      </w:r>
      <w:r>
        <w:t>格式的引用、以及技术名词密度），风险等级分为</w:t>
      </w:r>
      <w:r>
        <w:t xml:space="preserve"> LOW / MEDIUM / HIGH </w:t>
      </w:r>
      <w:r>
        <w:t>三档。经验证，普通模式全部请求均未返回思考过程文本，深度思考模式全部请求均返回了非空的思考过程文本，说明两种配置在实现层面确实按预期生效，为后续的模式间比较提供了可靠的实验基础。</w:t>
      </w:r>
    </w:p>
    <w:p w14:paraId="2A42B58B" w14:textId="77777777" w:rsidR="005D2875" w:rsidRDefault="00B855E4">
      <w:pPr>
        <w:pStyle w:val="2"/>
      </w:pPr>
      <w:r>
        <w:t>2.2 逐题对比</w:t>
      </w:r>
    </w:p>
    <w:p w14:paraId="5C3B5E40" w14:textId="77777777" w:rsidR="005D2875" w:rsidRDefault="00B855E4">
      <w:pPr>
        <w:pStyle w:val="3"/>
      </w:pPr>
      <w:r>
        <w:t>2.2.1 T1 综述类问题</w:t>
      </w:r>
    </w:p>
    <w:p w14:paraId="6C9BA566" w14:textId="22AD24D3" w:rsidR="005D2875" w:rsidRDefault="00B855E4">
      <w:pPr>
        <w:spacing w:after="160" w:line="300" w:lineRule="auto"/>
        <w:ind w:firstLine="480"/>
      </w:pPr>
      <w:r>
        <w:rPr>
          <w:b/>
          <w:bCs/>
        </w:rPr>
        <w:t>普通模式表现：</w:t>
      </w:r>
      <w:r>
        <w:t>输出长度</w:t>
      </w:r>
      <w:r>
        <w:t xml:space="preserve"> 2202 token</w:t>
      </w:r>
      <w:r>
        <w:t>，耗时</w:t>
      </w:r>
      <w:r>
        <w:t xml:space="preserve"> 53.95 </w:t>
      </w:r>
      <w:r>
        <w:t>秒，无思考过程，回答按三个维度展开，每个维度先阐述挑战再列举</w:t>
      </w:r>
      <w:r>
        <w:t xml:space="preserve"> </w:t>
      </w:r>
      <w:r w:rsidRPr="00CB13BE">
        <w:t>3</w:t>
      </w:r>
      <w:r w:rsidR="00CB13BE" w:rsidRPr="00CB13BE">
        <w:rPr>
          <w:rFonts w:hint="eastAsia"/>
        </w:rPr>
        <w:t>~</w:t>
      </w:r>
      <w:r w:rsidRPr="00CB13BE">
        <w:t xml:space="preserve">4 </w:t>
      </w:r>
      <w:r>
        <w:t>个代表性方法并附简要说明，例如在图文不一致检测中提到了</w:t>
      </w:r>
      <w:r>
        <w:t xml:space="preserve"> SpotFake</w:t>
      </w:r>
      <w:r>
        <w:t>、</w:t>
      </w:r>
      <w:r>
        <w:t>SAFE</w:t>
      </w:r>
      <w:r>
        <w:t>、</w:t>
      </w:r>
      <w:r>
        <w:t xml:space="preserve">KMGCN </w:t>
      </w:r>
      <w:r>
        <w:t>与篡改检测方法；回答末尾附有编号</w:t>
      </w:r>
      <w:r>
        <w:t xml:space="preserve"> 1</w:t>
      </w:r>
      <w:r>
        <w:t>～</w:t>
      </w:r>
      <w:r>
        <w:t xml:space="preserve">10 </w:t>
      </w:r>
      <w:r>
        <w:t>的参考文献列表，但其中部分年份与会议信息（如将</w:t>
      </w:r>
      <w:r>
        <w:t xml:space="preserve"> KMGCN </w:t>
      </w:r>
      <w:r>
        <w:t>标注为</w:t>
      </w:r>
      <w:r>
        <w:t xml:space="preserve"> 2020 </w:t>
      </w:r>
      <w:r>
        <w:t>年</w:t>
      </w:r>
      <w:r>
        <w:t xml:space="preserve"> IEEE TETCI</w:t>
      </w:r>
      <w:r>
        <w:t>）与公开记录存在出入，整体结构完整但三个维度之间的关联性总结较弱。</w:t>
      </w:r>
    </w:p>
    <w:p w14:paraId="2A252654" w14:textId="77777777" w:rsidR="005D2875" w:rsidRDefault="00B855E4">
      <w:pPr>
        <w:spacing w:after="160" w:line="300" w:lineRule="auto"/>
        <w:ind w:firstLine="480"/>
      </w:pPr>
      <w:r>
        <w:rPr>
          <w:b/>
          <w:bCs/>
        </w:rPr>
        <w:t>深度思考模式表现：</w:t>
      </w:r>
      <w:r>
        <w:t>输出长度</w:t>
      </w:r>
      <w:r>
        <w:t xml:space="preserve"> 4608 token</w:t>
      </w:r>
      <w:r>
        <w:t>，耗时</w:t>
      </w:r>
      <w:r>
        <w:t xml:space="preserve"> 93.74 </w:t>
      </w:r>
      <w:r>
        <w:t>秒（约为普通模式的</w:t>
      </w:r>
      <w:r>
        <w:t xml:space="preserve"> 1.7 </w:t>
      </w:r>
      <w:r>
        <w:t>倍），思考过程完整展示了模型如何规划三维度内容、回忆具体论文并考虑</w:t>
      </w:r>
      <w:r>
        <w:t xml:space="preserve"> [</w:t>
      </w:r>
      <w:r>
        <w:t>不确定</w:t>
      </w:r>
      <w:r>
        <w:t xml:space="preserve">] </w:t>
      </w:r>
      <w:r>
        <w:t>标注策略。正式回答在每个维度下补充了更多具体模型名称与年份（如</w:t>
      </w:r>
      <w:r>
        <w:t xml:space="preserve"> NewsCLIPpings 2021</w:t>
      </w:r>
      <w:r>
        <w:t>、</w:t>
      </w:r>
      <w:r>
        <w:t>COSMOS 2023</w:t>
      </w:r>
      <w:r>
        <w:t>、</w:t>
      </w:r>
      <w:r>
        <w:t>CAML 2022</w:t>
      </w:r>
      <w:r>
        <w:t>），结构上每个小节均有独立小标题，参考文献编号增至</w:t>
      </w:r>
      <w:r>
        <w:t xml:space="preserve"> 17 </w:t>
      </w:r>
      <w:r>
        <w:t>条，排版也更加规范；思考过程显示模型有意识地避免编造论文（如在提及</w:t>
      </w:r>
      <w:r>
        <w:t xml:space="preserve"> FNDCLIP </w:t>
      </w:r>
      <w:r>
        <w:t>时主动标注了不确定），但文末给出的全部引用仍需人工逐条核实。</w:t>
      </w:r>
    </w:p>
    <w:p w14:paraId="6E3C2A1F" w14:textId="77777777" w:rsidR="005D2875" w:rsidRDefault="00B855E4">
      <w:pPr>
        <w:spacing w:after="160" w:line="300" w:lineRule="auto"/>
        <w:ind w:firstLine="480"/>
      </w:pPr>
      <w:r>
        <w:t>初步结论：深度思考模式在综述类任务中通过更丰富的细节与更新近的工作提升了内容的前沿性，但其给出的引用仍需人工核实，因其并不总能保证准确性。</w:t>
      </w:r>
    </w:p>
    <w:p w14:paraId="1528DDA7" w14:textId="77777777" w:rsidR="005D2875" w:rsidRDefault="00B855E4">
      <w:pPr>
        <w:pStyle w:val="3"/>
      </w:pPr>
      <w:r>
        <w:t>2.2.2 T2 方法对比问题</w:t>
      </w:r>
    </w:p>
    <w:p w14:paraId="5BCC02D8" w14:textId="76DA266D" w:rsidR="005D2875" w:rsidRDefault="00B855E4">
      <w:pPr>
        <w:spacing w:after="160" w:line="300" w:lineRule="auto"/>
        <w:ind w:firstLine="480"/>
      </w:pPr>
      <w:r>
        <w:rPr>
          <w:b/>
          <w:bCs/>
        </w:rPr>
        <w:t>普通模式表现：</w:t>
      </w:r>
      <w:r>
        <w:t>输出长度</w:t>
      </w:r>
      <w:r>
        <w:t xml:space="preserve"> 1712 token</w:t>
      </w:r>
      <w:r>
        <w:t>，耗时</w:t>
      </w:r>
      <w:r>
        <w:t xml:space="preserve"> 39.07 </w:t>
      </w:r>
      <w:r>
        <w:t>秒，无思考过程。回答分三个维度展开对比并附有一张综合对比表，例如在计算复杂度上指出</w:t>
      </w:r>
      <w:r>
        <w:t xml:space="preserve"> VAE </w:t>
      </w:r>
      <w:r>
        <w:t>训练成本高、推理成本极低，适合实时场景，而</w:t>
      </w:r>
      <w:r>
        <w:t xml:space="preserve"> LLM </w:t>
      </w:r>
      <w:r>
        <w:t>辩论的推理成本极高；在可解释性上指出</w:t>
      </w:r>
      <w:r>
        <w:t xml:space="preserve"> VAE </w:t>
      </w:r>
      <w:r>
        <w:t>只能提供异常热力图式的弱解释，而</w:t>
      </w:r>
      <w:r>
        <w:t xml:space="preserve"> LLM </w:t>
      </w:r>
      <w:r>
        <w:t>辩论能提供自然语言因果链但可能夹带幻觉；泛化能力部分则准确指出了</w:t>
      </w:r>
      <w:r>
        <w:t xml:space="preserve"> </w:t>
      </w:r>
      <w:r>
        <w:lastRenderedPageBreak/>
        <w:t xml:space="preserve">VAE </w:t>
      </w:r>
      <w:r>
        <w:t>在面对事件级新型虚假新闻时的灾难性盲区。整个回答在</w:t>
      </w:r>
      <w:r>
        <w:t xml:space="preserve"> 1712 token </w:t>
      </w:r>
      <w:r>
        <w:t>的预算内已达到很高的信息密度与逻辑性，末尾还提出了级联检测系统的设想。</w:t>
      </w:r>
    </w:p>
    <w:p w14:paraId="3C95F4A2" w14:textId="5CDB3976" w:rsidR="005D2875" w:rsidRDefault="00B855E4">
      <w:pPr>
        <w:spacing w:after="160" w:line="300" w:lineRule="auto"/>
        <w:ind w:firstLine="480"/>
      </w:pPr>
      <w:r>
        <w:rPr>
          <w:b/>
          <w:bCs/>
        </w:rPr>
        <w:t>深度思考模式表现：</w:t>
      </w:r>
      <w:r>
        <w:t>输出长度</w:t>
      </w:r>
      <w:r>
        <w:t xml:space="preserve"> 2960 token</w:t>
      </w:r>
      <w:r>
        <w:t>，耗时</w:t>
      </w:r>
      <w:r>
        <w:t xml:space="preserve"> 65.83 </w:t>
      </w:r>
      <w:r>
        <w:t>秒（约为普通模式的</w:t>
      </w:r>
      <w:r>
        <w:t xml:space="preserve"> 1.68 </w:t>
      </w:r>
      <w:r>
        <w:t>倍），思考过程展示了模型回忆</w:t>
      </w:r>
      <w:r>
        <w:t xml:space="preserve"> MVAE </w:t>
      </w:r>
      <w:r>
        <w:t>具体架构、</w:t>
      </w:r>
      <w:r>
        <w:t xml:space="preserve">LLM </w:t>
      </w:r>
      <w:r>
        <w:t>辩论代表工作、并构建对比表格的过程。正式回答新增了技术细节小节，对</w:t>
      </w:r>
      <w:r>
        <w:t xml:space="preserve"> MVAE </w:t>
      </w:r>
      <w:r>
        <w:t>的编码器、融合机制、损失函数进行了公式级描述，对多智能体辩论的角色设计、辩论流程、工具集成也做了展开，并补充了</w:t>
      </w:r>
      <w:r>
        <w:t xml:space="preserve"> LLM </w:t>
      </w:r>
      <w:r>
        <w:t>辩论对抗鲁棒性风险等潜在弱点分析；末尾的对比表格与普通模式高度一致，说明普通模式已经覆盖了核心论点，深度思考模式提供的更多是教科书式的补充细节。</w:t>
      </w:r>
    </w:p>
    <w:p w14:paraId="5FD6AE5C" w14:textId="77777777" w:rsidR="005D2875" w:rsidRDefault="00B855E4">
      <w:pPr>
        <w:spacing w:after="160" w:line="300" w:lineRule="auto"/>
        <w:ind w:firstLine="480"/>
      </w:pPr>
      <w:r>
        <w:t>初步结论：对于需要多步推理的方法对比类任务，普通模式已能产出高质量回答；深度思考模式锦上添花，其信息增量与时间成本之间的性价比需视具体使用场景而定。</w:t>
      </w:r>
    </w:p>
    <w:p w14:paraId="49EBF283" w14:textId="77777777" w:rsidR="005D2875" w:rsidRDefault="00B855E4">
      <w:pPr>
        <w:pStyle w:val="3"/>
      </w:pPr>
      <w:r>
        <w:t>2.2.3 T3 研究设计问题</w:t>
      </w:r>
    </w:p>
    <w:p w14:paraId="7BC3656D" w14:textId="4633D3F6" w:rsidR="005D2875" w:rsidRDefault="00B855E4">
      <w:pPr>
        <w:spacing w:after="160" w:line="300" w:lineRule="auto"/>
        <w:ind w:firstLine="480"/>
      </w:pPr>
      <w:r>
        <w:rPr>
          <w:b/>
          <w:bCs/>
        </w:rPr>
        <w:t>普通模式表现：</w:t>
      </w:r>
      <w:r>
        <w:t>输出长度</w:t>
      </w:r>
      <w:r>
        <w:t xml:space="preserve"> 1466 token</w:t>
      </w:r>
      <w:r>
        <w:t>，耗时</w:t>
      </w:r>
      <w:r>
        <w:t xml:space="preserve"> 34.01 </w:t>
      </w:r>
      <w:r>
        <w:t>秒，无思考过程。回答给出了四类评估指标，将基线模型选择逻辑分为单模态零样本、多模态零样本、弱监督</w:t>
      </w:r>
      <w:r>
        <w:t>/</w:t>
      </w:r>
      <w:r>
        <w:t>少样本三级，并在每种假阳性类型后附有</w:t>
      </w:r>
      <w:r>
        <w:t xml:space="preserve">LLM </w:t>
      </w:r>
      <w:r>
        <w:t>误判机制解释，设计可操作性较强（如提出利用</w:t>
      </w:r>
      <w:r>
        <w:t xml:space="preserve"> FakeNewsNet </w:t>
      </w:r>
      <w:r>
        <w:t>筛选真实灾难新闻）；整体逻辑清晰且未引用具体论文，规避了引用类幻觉风险，但作为研究设计，缺少对现有数据集与基线算法的具体文献支撑，略显单薄。</w:t>
      </w:r>
    </w:p>
    <w:p w14:paraId="1216FEA3" w14:textId="77777777" w:rsidR="005D2875" w:rsidRDefault="00B855E4">
      <w:pPr>
        <w:spacing w:after="160" w:line="300" w:lineRule="auto"/>
        <w:ind w:firstLine="480"/>
      </w:pPr>
      <w:r>
        <w:rPr>
          <w:b/>
          <w:bCs/>
        </w:rPr>
        <w:t>深度思考模式表现：</w:t>
      </w:r>
      <w:r>
        <w:t>输出长度</w:t>
      </w:r>
      <w:r>
        <w:t xml:space="preserve"> 2984 token</w:t>
      </w:r>
      <w:r>
        <w:t>，耗时</w:t>
      </w:r>
      <w:r>
        <w:t xml:space="preserve"> 69.42 </w:t>
      </w:r>
      <w:r>
        <w:t>秒（约为普通模式的</w:t>
      </w:r>
      <w:r>
        <w:t xml:space="preserve"> 2.04 </w:t>
      </w:r>
      <w:r>
        <w:t>倍，是三道题中开销比最高的一次），思考过程涉及数据集选择、基线分类与假阳性样本心理模型的构建。正式回答给出了更完整的指标体系（新增公平性指标、选择性预测</w:t>
      </w:r>
      <w:r>
        <w:t xml:space="preserve"> AUROC </w:t>
      </w:r>
      <w:r>
        <w:t>等），将基线分为下界、中界、上界、核心对比四层，并引用了具体的</w:t>
      </w:r>
      <w:r>
        <w:t xml:space="preserve"> SOTA </w:t>
      </w:r>
      <w:r>
        <w:t>方法作为上界（如</w:t>
      </w:r>
      <w:r>
        <w:t xml:space="preserve"> SpotFake</w:t>
      </w:r>
      <w:r>
        <w:t>、</w:t>
      </w:r>
      <w:r>
        <w:t>EANN</w:t>
      </w:r>
      <w:r>
        <w:t>、</w:t>
      </w:r>
      <w:r>
        <w:t>MCAN</w:t>
      </w:r>
      <w:r>
        <w:t>、</w:t>
      </w:r>
      <w:r>
        <w:t>FNDCLIP</w:t>
      </w:r>
      <w:r>
        <w:t>）；假阳性样本设计了图文情绪矛盾的真实新闻、内含辟谣原文的澄清新闻两类，并给出了更详尽的误判机制分析；文末列出的</w:t>
      </w:r>
      <w:r>
        <w:t xml:space="preserve"> 5 </w:t>
      </w:r>
      <w:r>
        <w:t>条参考文献中有</w:t>
      </w:r>
      <w:r>
        <w:t xml:space="preserve"> 2 </w:t>
      </w:r>
      <w:r>
        <w:t>条被主动标注了不确定性批注。</w:t>
      </w:r>
    </w:p>
    <w:p w14:paraId="17336665" w14:textId="29928246" w:rsidR="005D2875" w:rsidRDefault="00B855E4">
      <w:pPr>
        <w:spacing w:after="160" w:line="300" w:lineRule="auto"/>
        <w:ind w:firstLine="480"/>
      </w:pPr>
      <w:r>
        <w:t>初步结论：研究设计类问题最能体现深度思考模式的系统性思维增益，能产出接近导师级建议的实验方案；但评估者需要额外花费精力核对其给出的参考文献真实性，普通模式的方案虽无引文支撑，作为快速方案初稿已足够合格。</w:t>
      </w:r>
    </w:p>
    <w:p w14:paraId="29EBE67E" w14:textId="77777777" w:rsidR="005D2875" w:rsidRDefault="00B855E4">
      <w:pPr>
        <w:pStyle w:val="2"/>
      </w:pPr>
      <w:r>
        <w:t>2.3 结果分析</w:t>
      </w:r>
    </w:p>
    <w:p w14:paraId="59F63348" w14:textId="77777777" w:rsidR="005D2875" w:rsidRDefault="00B855E4">
      <w:pPr>
        <w:spacing w:after="160" w:line="300" w:lineRule="auto"/>
        <w:ind w:firstLine="480"/>
      </w:pPr>
      <w:r>
        <w:t>综合三道任务的量化数据可以看到，</w:t>
      </w:r>
      <w:r>
        <w:t xml:space="preserve">DeepSeek-V4-Pro </w:t>
      </w:r>
      <w:r>
        <w:t>的深度思考模式在耗时与输出长度上均显著高于普通模式，具体如下表所示：</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800"/>
      </w:tblGrid>
      <w:tr w:rsidR="005D2875" w14:paraId="231F44FA" w14:textId="77777777" w:rsidTr="005253F0">
        <w:trPr>
          <w:tblHeader/>
        </w:trPr>
        <w:tc>
          <w:tcPr>
            <w:tcW w:w="2400" w:type="dxa"/>
            <w:shd w:val="clear" w:color="auto" w:fill="000000" w:themeFill="text1"/>
            <w:tcMar>
              <w:top w:w="60" w:type="dxa"/>
              <w:left w:w="100" w:type="dxa"/>
              <w:bottom w:w="60" w:type="dxa"/>
              <w:right w:w="100" w:type="dxa"/>
            </w:tcMar>
            <w:vAlign w:val="center"/>
          </w:tcPr>
          <w:p w14:paraId="551A443F" w14:textId="77777777" w:rsidR="005D2875" w:rsidRDefault="00B855E4" w:rsidP="00CB13BE">
            <w:pPr>
              <w:spacing w:before="40" w:after="40"/>
              <w:jc w:val="center"/>
            </w:pPr>
            <w:r>
              <w:rPr>
                <w:b/>
                <w:bCs/>
                <w:color w:val="FFFFFF"/>
                <w:sz w:val="20"/>
                <w:szCs w:val="20"/>
              </w:rPr>
              <w:t>指标</w:t>
            </w:r>
          </w:p>
        </w:tc>
        <w:tc>
          <w:tcPr>
            <w:tcW w:w="2600" w:type="dxa"/>
            <w:shd w:val="clear" w:color="auto" w:fill="000000" w:themeFill="text1"/>
            <w:tcMar>
              <w:top w:w="60" w:type="dxa"/>
              <w:left w:w="100" w:type="dxa"/>
              <w:bottom w:w="60" w:type="dxa"/>
              <w:right w:w="100" w:type="dxa"/>
            </w:tcMar>
            <w:vAlign w:val="center"/>
          </w:tcPr>
          <w:p w14:paraId="6BB8FEB9" w14:textId="77777777" w:rsidR="005D2875" w:rsidRDefault="00B855E4" w:rsidP="00CB13BE">
            <w:pPr>
              <w:spacing w:before="40" w:after="40"/>
              <w:jc w:val="center"/>
            </w:pPr>
            <w:r>
              <w:rPr>
                <w:b/>
                <w:bCs/>
                <w:color w:val="FFFFFF"/>
                <w:sz w:val="20"/>
                <w:szCs w:val="20"/>
              </w:rPr>
              <w:t>普通模式（平均）</w:t>
            </w:r>
          </w:p>
        </w:tc>
        <w:tc>
          <w:tcPr>
            <w:tcW w:w="2800" w:type="dxa"/>
            <w:shd w:val="clear" w:color="auto" w:fill="000000" w:themeFill="text1"/>
            <w:tcMar>
              <w:top w:w="60" w:type="dxa"/>
              <w:left w:w="100" w:type="dxa"/>
              <w:bottom w:w="60" w:type="dxa"/>
              <w:right w:w="100" w:type="dxa"/>
            </w:tcMar>
            <w:vAlign w:val="center"/>
          </w:tcPr>
          <w:p w14:paraId="3310F73E" w14:textId="77777777" w:rsidR="005D2875" w:rsidRDefault="00B855E4" w:rsidP="00CB13BE">
            <w:pPr>
              <w:spacing w:before="40" w:after="40"/>
              <w:jc w:val="center"/>
            </w:pPr>
            <w:r>
              <w:rPr>
                <w:b/>
                <w:bCs/>
                <w:color w:val="FFFFFF"/>
                <w:sz w:val="20"/>
                <w:szCs w:val="20"/>
              </w:rPr>
              <w:t>深度思考模式（平均）</w:t>
            </w:r>
          </w:p>
        </w:tc>
        <w:tc>
          <w:tcPr>
            <w:tcW w:w="1800" w:type="dxa"/>
            <w:shd w:val="clear" w:color="auto" w:fill="000000" w:themeFill="text1"/>
            <w:tcMar>
              <w:top w:w="60" w:type="dxa"/>
              <w:left w:w="100" w:type="dxa"/>
              <w:bottom w:w="60" w:type="dxa"/>
              <w:right w:w="100" w:type="dxa"/>
            </w:tcMar>
            <w:vAlign w:val="center"/>
          </w:tcPr>
          <w:p w14:paraId="2CE9DF10" w14:textId="77777777" w:rsidR="005D2875" w:rsidRDefault="00B855E4" w:rsidP="00CB13BE">
            <w:pPr>
              <w:spacing w:before="40" w:after="40"/>
              <w:jc w:val="center"/>
            </w:pPr>
            <w:r>
              <w:rPr>
                <w:b/>
                <w:bCs/>
                <w:color w:val="FFFFFF"/>
                <w:sz w:val="20"/>
                <w:szCs w:val="20"/>
              </w:rPr>
              <w:t>比率</w:t>
            </w:r>
          </w:p>
        </w:tc>
      </w:tr>
      <w:tr w:rsidR="005D2875" w14:paraId="50DB33EC" w14:textId="77777777" w:rsidTr="00CB13BE">
        <w:tc>
          <w:tcPr>
            <w:tcW w:w="2400" w:type="dxa"/>
            <w:tcMar>
              <w:top w:w="60" w:type="dxa"/>
              <w:left w:w="100" w:type="dxa"/>
              <w:bottom w:w="60" w:type="dxa"/>
              <w:right w:w="100" w:type="dxa"/>
            </w:tcMar>
            <w:vAlign w:val="center"/>
          </w:tcPr>
          <w:p w14:paraId="01A5EE56" w14:textId="77777777" w:rsidR="005D2875" w:rsidRDefault="00B855E4" w:rsidP="00CB13BE">
            <w:pPr>
              <w:spacing w:before="40" w:after="40"/>
              <w:jc w:val="center"/>
            </w:pPr>
            <w:r>
              <w:rPr>
                <w:color w:val="000000"/>
                <w:sz w:val="20"/>
                <w:szCs w:val="20"/>
              </w:rPr>
              <w:t>耗时</w:t>
            </w:r>
          </w:p>
        </w:tc>
        <w:tc>
          <w:tcPr>
            <w:tcW w:w="2600" w:type="dxa"/>
            <w:tcMar>
              <w:top w:w="60" w:type="dxa"/>
              <w:left w:w="100" w:type="dxa"/>
              <w:bottom w:w="60" w:type="dxa"/>
              <w:right w:w="100" w:type="dxa"/>
            </w:tcMar>
            <w:vAlign w:val="center"/>
          </w:tcPr>
          <w:p w14:paraId="55B4FF9B" w14:textId="77777777" w:rsidR="005D2875" w:rsidRDefault="00B855E4" w:rsidP="00CB13BE">
            <w:pPr>
              <w:spacing w:before="40" w:after="40"/>
              <w:jc w:val="center"/>
            </w:pPr>
            <w:r>
              <w:rPr>
                <w:color w:val="000000"/>
                <w:sz w:val="20"/>
                <w:szCs w:val="20"/>
              </w:rPr>
              <w:t>42.34 s</w:t>
            </w:r>
          </w:p>
        </w:tc>
        <w:tc>
          <w:tcPr>
            <w:tcW w:w="2800" w:type="dxa"/>
            <w:tcMar>
              <w:top w:w="60" w:type="dxa"/>
              <w:left w:w="100" w:type="dxa"/>
              <w:bottom w:w="60" w:type="dxa"/>
              <w:right w:w="100" w:type="dxa"/>
            </w:tcMar>
            <w:vAlign w:val="center"/>
          </w:tcPr>
          <w:p w14:paraId="1BBEB727" w14:textId="77777777" w:rsidR="005D2875" w:rsidRDefault="00B855E4" w:rsidP="00CB13BE">
            <w:pPr>
              <w:spacing w:before="40" w:after="40"/>
              <w:jc w:val="center"/>
            </w:pPr>
            <w:r>
              <w:rPr>
                <w:color w:val="000000"/>
                <w:sz w:val="20"/>
                <w:szCs w:val="20"/>
              </w:rPr>
              <w:t>76.33 s</w:t>
            </w:r>
          </w:p>
        </w:tc>
        <w:tc>
          <w:tcPr>
            <w:tcW w:w="1800" w:type="dxa"/>
            <w:tcMar>
              <w:top w:w="60" w:type="dxa"/>
              <w:left w:w="100" w:type="dxa"/>
              <w:bottom w:w="60" w:type="dxa"/>
              <w:right w:w="100" w:type="dxa"/>
            </w:tcMar>
            <w:vAlign w:val="center"/>
          </w:tcPr>
          <w:p w14:paraId="7E8509F0" w14:textId="77777777" w:rsidR="005D2875" w:rsidRDefault="00B855E4" w:rsidP="00CB13BE">
            <w:pPr>
              <w:spacing w:before="40" w:after="40"/>
              <w:jc w:val="center"/>
            </w:pPr>
            <w:r>
              <w:rPr>
                <w:color w:val="000000"/>
                <w:sz w:val="20"/>
                <w:szCs w:val="20"/>
              </w:rPr>
              <w:t>1.80×</w:t>
            </w:r>
          </w:p>
        </w:tc>
      </w:tr>
      <w:tr w:rsidR="005D2875" w14:paraId="40C28AE5" w14:textId="77777777" w:rsidTr="005253F0">
        <w:tc>
          <w:tcPr>
            <w:tcW w:w="2400" w:type="dxa"/>
            <w:shd w:val="clear" w:color="auto" w:fill="FFFFFF" w:themeFill="background1"/>
            <w:tcMar>
              <w:top w:w="60" w:type="dxa"/>
              <w:left w:w="100" w:type="dxa"/>
              <w:bottom w:w="60" w:type="dxa"/>
              <w:right w:w="100" w:type="dxa"/>
            </w:tcMar>
            <w:vAlign w:val="center"/>
          </w:tcPr>
          <w:p w14:paraId="0463C8C5" w14:textId="77777777" w:rsidR="005D2875" w:rsidRDefault="00B855E4" w:rsidP="00CB13BE">
            <w:pPr>
              <w:spacing w:before="40" w:after="40"/>
              <w:jc w:val="center"/>
            </w:pPr>
            <w:r>
              <w:rPr>
                <w:color w:val="000000"/>
                <w:sz w:val="20"/>
                <w:szCs w:val="20"/>
              </w:rPr>
              <w:t>输出</w:t>
            </w:r>
            <w:r>
              <w:rPr>
                <w:color w:val="000000"/>
                <w:sz w:val="20"/>
                <w:szCs w:val="20"/>
              </w:rPr>
              <w:t xml:space="preserve"> token</w:t>
            </w:r>
          </w:p>
        </w:tc>
        <w:tc>
          <w:tcPr>
            <w:tcW w:w="2600" w:type="dxa"/>
            <w:shd w:val="clear" w:color="auto" w:fill="FFFFFF" w:themeFill="background1"/>
            <w:tcMar>
              <w:top w:w="60" w:type="dxa"/>
              <w:left w:w="100" w:type="dxa"/>
              <w:bottom w:w="60" w:type="dxa"/>
              <w:right w:w="100" w:type="dxa"/>
            </w:tcMar>
            <w:vAlign w:val="center"/>
          </w:tcPr>
          <w:p w14:paraId="0319CD7D" w14:textId="77777777" w:rsidR="005D2875" w:rsidRDefault="00B855E4" w:rsidP="00CB13BE">
            <w:pPr>
              <w:spacing w:before="40" w:after="40"/>
              <w:jc w:val="center"/>
            </w:pPr>
            <w:r>
              <w:rPr>
                <w:color w:val="000000"/>
                <w:sz w:val="20"/>
                <w:szCs w:val="20"/>
              </w:rPr>
              <w:t>1793</w:t>
            </w:r>
          </w:p>
        </w:tc>
        <w:tc>
          <w:tcPr>
            <w:tcW w:w="2800" w:type="dxa"/>
            <w:shd w:val="clear" w:color="auto" w:fill="FFFFFF" w:themeFill="background1"/>
            <w:tcMar>
              <w:top w:w="60" w:type="dxa"/>
              <w:left w:w="100" w:type="dxa"/>
              <w:bottom w:w="60" w:type="dxa"/>
              <w:right w:w="100" w:type="dxa"/>
            </w:tcMar>
            <w:vAlign w:val="center"/>
          </w:tcPr>
          <w:p w14:paraId="0FECF66D" w14:textId="77777777" w:rsidR="005D2875" w:rsidRDefault="00B855E4" w:rsidP="00CB13BE">
            <w:pPr>
              <w:spacing w:before="40" w:after="40"/>
              <w:jc w:val="center"/>
            </w:pPr>
            <w:r>
              <w:rPr>
                <w:color w:val="000000"/>
                <w:sz w:val="20"/>
                <w:szCs w:val="20"/>
              </w:rPr>
              <w:t>3517</w:t>
            </w:r>
          </w:p>
        </w:tc>
        <w:tc>
          <w:tcPr>
            <w:tcW w:w="1800" w:type="dxa"/>
            <w:shd w:val="clear" w:color="auto" w:fill="FFFFFF" w:themeFill="background1"/>
            <w:tcMar>
              <w:top w:w="60" w:type="dxa"/>
              <w:left w:w="100" w:type="dxa"/>
              <w:bottom w:w="60" w:type="dxa"/>
              <w:right w:w="100" w:type="dxa"/>
            </w:tcMar>
            <w:vAlign w:val="center"/>
          </w:tcPr>
          <w:p w14:paraId="10B6680E" w14:textId="77777777" w:rsidR="005D2875" w:rsidRDefault="00B855E4" w:rsidP="00CB13BE">
            <w:pPr>
              <w:spacing w:before="40" w:after="40"/>
              <w:jc w:val="center"/>
            </w:pPr>
            <w:r>
              <w:rPr>
                <w:color w:val="000000"/>
                <w:sz w:val="20"/>
                <w:szCs w:val="20"/>
              </w:rPr>
              <w:t>1.96×</w:t>
            </w:r>
          </w:p>
        </w:tc>
      </w:tr>
      <w:tr w:rsidR="005D2875" w14:paraId="4863FFAF" w14:textId="77777777" w:rsidTr="00CB13BE">
        <w:tc>
          <w:tcPr>
            <w:tcW w:w="2400" w:type="dxa"/>
            <w:tcMar>
              <w:top w:w="60" w:type="dxa"/>
              <w:left w:w="100" w:type="dxa"/>
              <w:bottom w:w="60" w:type="dxa"/>
              <w:right w:w="100" w:type="dxa"/>
            </w:tcMar>
            <w:vAlign w:val="center"/>
          </w:tcPr>
          <w:p w14:paraId="02575AAC" w14:textId="77777777" w:rsidR="005D2875" w:rsidRDefault="00B855E4" w:rsidP="00CB13BE">
            <w:pPr>
              <w:spacing w:before="40" w:after="40"/>
              <w:jc w:val="center"/>
            </w:pPr>
            <w:r>
              <w:rPr>
                <w:color w:val="000000"/>
                <w:sz w:val="20"/>
                <w:szCs w:val="20"/>
              </w:rPr>
              <w:t>思考链平均长度</w:t>
            </w:r>
          </w:p>
        </w:tc>
        <w:tc>
          <w:tcPr>
            <w:tcW w:w="2600" w:type="dxa"/>
            <w:tcMar>
              <w:top w:w="60" w:type="dxa"/>
              <w:left w:w="100" w:type="dxa"/>
              <w:bottom w:w="60" w:type="dxa"/>
              <w:right w:w="100" w:type="dxa"/>
            </w:tcMar>
            <w:vAlign w:val="center"/>
          </w:tcPr>
          <w:p w14:paraId="6C3E260A" w14:textId="77777777" w:rsidR="005D2875" w:rsidRDefault="00B855E4" w:rsidP="00CB13BE">
            <w:pPr>
              <w:spacing w:before="40" w:after="40"/>
              <w:jc w:val="center"/>
            </w:pPr>
            <w:r>
              <w:rPr>
                <w:color w:val="000000"/>
                <w:sz w:val="20"/>
                <w:szCs w:val="20"/>
              </w:rPr>
              <w:t>0</w:t>
            </w:r>
          </w:p>
        </w:tc>
        <w:tc>
          <w:tcPr>
            <w:tcW w:w="2800" w:type="dxa"/>
            <w:tcMar>
              <w:top w:w="60" w:type="dxa"/>
              <w:left w:w="100" w:type="dxa"/>
              <w:bottom w:w="60" w:type="dxa"/>
              <w:right w:w="100" w:type="dxa"/>
            </w:tcMar>
            <w:vAlign w:val="center"/>
          </w:tcPr>
          <w:p w14:paraId="27463843" w14:textId="77777777" w:rsidR="005D2875" w:rsidRDefault="00B855E4" w:rsidP="00CB13BE">
            <w:pPr>
              <w:spacing w:before="40" w:after="40"/>
              <w:jc w:val="center"/>
            </w:pPr>
            <w:r>
              <w:rPr>
                <w:color w:val="000000"/>
                <w:sz w:val="20"/>
                <w:szCs w:val="20"/>
              </w:rPr>
              <w:t>约</w:t>
            </w:r>
            <w:r>
              <w:rPr>
                <w:color w:val="000000"/>
                <w:sz w:val="20"/>
                <w:szCs w:val="20"/>
              </w:rPr>
              <w:t xml:space="preserve"> 1000+ token</w:t>
            </w:r>
          </w:p>
        </w:tc>
        <w:tc>
          <w:tcPr>
            <w:tcW w:w="1800" w:type="dxa"/>
            <w:tcMar>
              <w:top w:w="60" w:type="dxa"/>
              <w:left w:w="100" w:type="dxa"/>
              <w:bottom w:w="60" w:type="dxa"/>
              <w:right w:w="100" w:type="dxa"/>
            </w:tcMar>
            <w:vAlign w:val="center"/>
          </w:tcPr>
          <w:p w14:paraId="4BE918AA" w14:textId="77777777" w:rsidR="005D2875" w:rsidRDefault="00B855E4" w:rsidP="00CB13BE">
            <w:pPr>
              <w:spacing w:before="40" w:after="40"/>
              <w:jc w:val="center"/>
            </w:pPr>
            <w:r>
              <w:rPr>
                <w:color w:val="000000"/>
                <w:sz w:val="20"/>
                <w:szCs w:val="20"/>
              </w:rPr>
              <w:t>N/A</w:t>
            </w:r>
          </w:p>
        </w:tc>
      </w:tr>
    </w:tbl>
    <w:p w14:paraId="3F54B2D1" w14:textId="77777777" w:rsidR="005D2875" w:rsidRDefault="00B855E4">
      <w:pPr>
        <w:spacing w:before="80" w:after="200"/>
        <w:jc w:val="left"/>
      </w:pPr>
      <w:r>
        <w:rPr>
          <w:i/>
          <w:iCs/>
          <w:color w:val="595959"/>
          <w:sz w:val="20"/>
          <w:szCs w:val="20"/>
        </w:rPr>
        <w:lastRenderedPageBreak/>
        <w:t>数据来源：</w:t>
      </w:r>
      <w:r>
        <w:rPr>
          <w:i/>
          <w:iCs/>
          <w:color w:val="595959"/>
          <w:sz w:val="20"/>
          <w:szCs w:val="20"/>
        </w:rPr>
        <w:t xml:space="preserve">DeepSeek-V4-Pro API </w:t>
      </w:r>
      <w:r>
        <w:rPr>
          <w:i/>
          <w:iCs/>
          <w:color w:val="595959"/>
          <w:sz w:val="20"/>
          <w:szCs w:val="20"/>
        </w:rPr>
        <w:t>调用日志，三道任务（</w:t>
      </w:r>
      <w:r>
        <w:rPr>
          <w:i/>
          <w:iCs/>
          <w:color w:val="595959"/>
          <w:sz w:val="20"/>
          <w:szCs w:val="20"/>
        </w:rPr>
        <w:t>T1–T3</w:t>
      </w:r>
      <w:r>
        <w:rPr>
          <w:i/>
          <w:iCs/>
          <w:color w:val="595959"/>
          <w:sz w:val="20"/>
          <w:szCs w:val="20"/>
        </w:rPr>
        <w:t>）均值。</w:t>
      </w:r>
    </w:p>
    <w:p w14:paraId="2F5CD863" w14:textId="105DD62C" w:rsidR="005D2875" w:rsidRDefault="00B855E4">
      <w:pPr>
        <w:spacing w:after="160" w:line="300" w:lineRule="auto"/>
        <w:ind w:firstLine="480"/>
      </w:pPr>
      <w:r>
        <w:t>由上述统计可以看出，深度思考模式的平均耗时约为普通模式的</w:t>
      </w:r>
      <w:r>
        <w:t xml:space="preserve"> 1.8 </w:t>
      </w:r>
      <w:r>
        <w:t>倍，输出长度约为</w:t>
      </w:r>
      <w:r>
        <w:t xml:space="preserve"> 1.96 </w:t>
      </w:r>
      <w:r>
        <w:t>倍。考虑到在单次请求中获取的信息量与结构完备度也随之提升，这种开销在交互式研究场景中通常是可以接受的；但如果任务属于批量生成或对延迟高度敏感的场景，则仍建议优先使用普通模式，仅针对疑难问题单独启用深度思考。深度思考模式在结构化思维、前沿知识注入、技术细节补充与研究设计指导性四个方面均表现出明显增益：所有深度思考回答都带有清晰的层次化章节；在综述任务中能够调用更新近的工作（如</w:t>
      </w:r>
      <w:r>
        <w:t xml:space="preserve"> COSMOS 2023</w:t>
      </w:r>
      <w:r>
        <w:t>、</w:t>
      </w:r>
      <w:r>
        <w:t>CAML 2022</w:t>
      </w:r>
      <w:r>
        <w:t>）；在方法对比任务中补充了公式级、机制级的技术细节；在研究设计任务中给出的实验方案更接近可执行的课题申请书。但这些增益并非在所有场景下都是必需的</w:t>
      </w:r>
      <w:r w:rsidR="00CB13BE">
        <w:rPr>
          <w:rFonts w:hint="eastAsia"/>
        </w:rPr>
        <w:t>，</w:t>
      </w:r>
      <w:r>
        <w:t>普通模式在</w:t>
      </w:r>
      <w:r>
        <w:t xml:space="preserve"> T2 </w:t>
      </w:r>
      <w:r>
        <w:t>任务中已经输出了核心论点与对比表，信息量足以支撑一次小组讨论，对熟练研究者而言可能已经足够，深度思考模式更适合需要广度展开的综述写作、新手学习或项目申报等场景。</w:t>
      </w:r>
    </w:p>
    <w:p w14:paraId="17E62D5A" w14:textId="77777777" w:rsidR="005D2875" w:rsidRDefault="00B855E4">
      <w:pPr>
        <w:pStyle w:val="2"/>
      </w:pPr>
      <w:r>
        <w:t>2.4 幻觉现象的观察与讨论</w:t>
      </w:r>
    </w:p>
    <w:p w14:paraId="746691EF" w14:textId="2F27DE69" w:rsidR="005D2875" w:rsidRDefault="00B855E4">
      <w:pPr>
        <w:spacing w:after="160" w:line="300" w:lineRule="auto"/>
        <w:ind w:firstLine="480"/>
      </w:pPr>
      <w:r>
        <w:t>本组实验通过规则检测与人工审阅相结合的方式，识别出以下与幻觉相关的现象。首先是引用格式性幻觉：两种模式均输出了包含年份与作者的引用列表，但经初步检索，部分引用的年份、会议与目前公认版本存在出入，例如普通模式在</w:t>
      </w:r>
      <w:r>
        <w:t xml:space="preserve"> T1 </w:t>
      </w:r>
      <w:r>
        <w:t>中将</w:t>
      </w:r>
      <w:r>
        <w:t xml:space="preserve"> KMGCN </w:t>
      </w:r>
      <w:r>
        <w:t>标注为发表于</w:t>
      </w:r>
      <w:r>
        <w:t xml:space="preserve"> IEEE TETCI</w:t>
      </w:r>
      <w:r>
        <w:t>，与笔者已知</w:t>
      </w:r>
      <w:r>
        <w:t xml:space="preserve"> KMGCN </w:t>
      </w:r>
      <w:r>
        <w:t>发表于</w:t>
      </w:r>
      <w:r>
        <w:t xml:space="preserve"> ACM MM 2020 </w:t>
      </w:r>
      <w:r>
        <w:t>不一致；深度思考模式在</w:t>
      </w:r>
      <w:r>
        <w:t xml:space="preserve"> T1 </w:t>
      </w:r>
      <w:r>
        <w:t>中引用的</w:t>
      </w:r>
      <w:r>
        <w:t xml:space="preserve"> MKEMN</w:t>
      </w:r>
      <w:r>
        <w:t>（</w:t>
      </w:r>
      <w:r>
        <w:t>2019</w:t>
      </w:r>
      <w:r>
        <w:t>）同样需要核实。这表明模型在生成引用时更多是似真组合，而非精确记忆。其次是不确定性标注的使用：两种模式均能在一定程度上遵循指令，在不确定处标注</w:t>
      </w:r>
      <w:r>
        <w:t xml:space="preserve"> [</w:t>
      </w:r>
      <w:r>
        <w:t>不确定</w:t>
      </w:r>
      <w:r>
        <w:t>]</w:t>
      </w:r>
      <w:r>
        <w:t>，例如深度思考模式在</w:t>
      </w:r>
      <w:r>
        <w:t xml:space="preserve"> T1 </w:t>
      </w:r>
      <w:r>
        <w:t>中对某个代表性方向的具体论文名称主动标注了不确定，这在一定程度上降低了读者盲目信任的风险，但并不能完全抵消幻觉。最后，关于深度思考与幻觉发生率的关系，本次实验并未观察到深度思考模式显著增加</w:t>
      </w:r>
      <w:r>
        <w:t xml:space="preserve"> HIGH </w:t>
      </w:r>
      <w:r>
        <w:t>风险等级的比例，但因其回答更长、引用更多，普通读者直接阅读时更容易被庞大的参考文献列表说服而忽视验证，这提示引用数量的增加并不代表准确性的同步提升，反而可能增加核实成本。</w:t>
      </w:r>
    </w:p>
    <w:p w14:paraId="1DF97F87" w14:textId="77777777" w:rsidR="005D2875" w:rsidRDefault="00B855E4">
      <w:pPr>
        <w:pStyle w:val="2"/>
      </w:pPr>
      <w:r>
        <w:t>2.5 本组小结</w:t>
      </w:r>
    </w:p>
    <w:p w14:paraId="079E21B5" w14:textId="47ACDDD3" w:rsidR="005D2875" w:rsidRDefault="00B855E4">
      <w:pPr>
        <w:spacing w:after="160" w:line="300" w:lineRule="auto"/>
        <w:ind w:firstLine="480"/>
      </w:pPr>
      <w:r>
        <w:t xml:space="preserve">DeepSeek-V4-Pro </w:t>
      </w:r>
      <w:r>
        <w:t>的深度思考模式在综述、方法对比、研究设计三类学术任务中均能产生更丰富、结构更优、技术细节更深的回答，显性的思维链也为使用者提供了过程可解释性；该增益以约</w:t>
      </w:r>
      <w:r>
        <w:t xml:space="preserve"> 1.8 </w:t>
      </w:r>
      <w:r>
        <w:t>倍的时间开销与近</w:t>
      </w:r>
      <w:r>
        <w:t xml:space="preserve"> 2 </w:t>
      </w:r>
      <w:r>
        <w:t>倍的输出长度为代价，在实时性要求高的场景下需要权衡使用。两种模式的幻觉风险等级总体相当，但深度思考模式因给出更多文献引用，容易给读者造成权威错觉，实际上需要投入更多人工核实成本；而普通模式在中等复杂度的对比推理任务上表现优异，效率高于深度思考模式，对高水平的领域研究者而言已基本够用。</w:t>
      </w:r>
    </w:p>
    <w:p w14:paraId="03522DDA" w14:textId="5FD315CE" w:rsidR="00D328A7" w:rsidRDefault="00D328A7" w:rsidP="00D328A7">
      <w:pPr>
        <w:pStyle w:val="1"/>
      </w:pPr>
      <w:r w:rsidRPr="00D328A7">
        <w:rPr>
          <w:rFonts w:hint="eastAsia"/>
        </w:rPr>
        <w:t>三、Gemini 系列：3.1 Pro（深度思考）与 3.5 Flash（普通模式）对比</w:t>
      </w:r>
    </w:p>
    <w:p w14:paraId="3A83D7AF" w14:textId="039B993B" w:rsidR="005D2875" w:rsidRDefault="00B855E4">
      <w:pPr>
        <w:pStyle w:val="2"/>
      </w:pPr>
      <w:r>
        <w:t>3.1 实验设置说明</w:t>
      </w:r>
    </w:p>
    <w:p w14:paraId="6EF626FE" w14:textId="2AD41E4E" w:rsidR="005D2875" w:rsidRDefault="00B855E4">
      <w:pPr>
        <w:spacing w:after="160" w:line="300" w:lineRule="auto"/>
        <w:ind w:firstLine="480"/>
      </w:pPr>
      <w:r>
        <w:lastRenderedPageBreak/>
        <w:t>本组实验通过</w:t>
      </w:r>
      <w:r>
        <w:t xml:space="preserve"> Gemini </w:t>
      </w:r>
      <w:r>
        <w:t>官方</w:t>
      </w:r>
      <w:r>
        <w:t xml:space="preserve"> Chatbox</w:t>
      </w:r>
      <w:r>
        <w:t>，分别向</w:t>
      </w:r>
      <w:r>
        <w:t xml:space="preserve"> Gemini 3.1 Pro</w:t>
      </w:r>
      <w:r>
        <w:t>（默认启用深度思考能力的旗舰模型）与</w:t>
      </w:r>
      <w:r>
        <w:t xml:space="preserve"> Gemini 3.5 Flash</w:t>
      </w:r>
      <w:r>
        <w:t>（面向速度与成本效率、不具备</w:t>
      </w:r>
      <w:r>
        <w:t>/</w:t>
      </w:r>
      <w:r>
        <w:t>未启用思考链的轻量模型）提交与</w:t>
      </w:r>
      <w:r>
        <w:t xml:space="preserve"> DeepSeek </w:t>
      </w:r>
      <w:r>
        <w:t>组完全相同的</w:t>
      </w:r>
      <w:r>
        <w:t xml:space="preserve"> system prompt </w:t>
      </w:r>
      <w:r>
        <w:t>与三道任务问题（</w:t>
      </w:r>
      <w:r>
        <w:t>T1–T3</w:t>
      </w:r>
      <w:r>
        <w:t>）。如前文</w:t>
      </w:r>
      <w:r>
        <w:t xml:space="preserve"> 1.3 </w:t>
      </w:r>
      <w:r>
        <w:t>节所述，</w:t>
      </w:r>
      <w:r>
        <w:t xml:space="preserve">Gemini 3.1 Pro </w:t>
      </w:r>
      <w:r>
        <w:t>与</w:t>
      </w:r>
      <w:r>
        <w:t xml:space="preserve"> Gemini 3.5 Flash </w:t>
      </w:r>
      <w:r>
        <w:t>并非同一模型的模式开关，而是</w:t>
      </w:r>
      <w:r>
        <w:t xml:space="preserve"> Gemini </w:t>
      </w:r>
      <w:r>
        <w:t>产品线中两个独立定位的模型，因此本组观察到的差异中，既包含是否深度思考的效应，也可能混杂了模型规模与训练目标本身的差异，这一点将在第四部分统一比较中重新讨论。由于</w:t>
      </w:r>
      <w:r>
        <w:t xml:space="preserve"> Chatbox </w:t>
      </w:r>
      <w:r>
        <w:t>接口不提供</w:t>
      </w:r>
      <w:r>
        <w:t xml:space="preserve"> API </w:t>
      </w:r>
      <w:r>
        <w:t>级别的</w:t>
      </w:r>
      <w:r>
        <w:t xml:space="preserve"> token </w:t>
      </w:r>
      <w:r>
        <w:t>用量、响应延迟，也不完整暴露深度思考的原始思考过程，本报告改用以下代理指标进行量化比较：其一为输出长度，以剔除空白字符后的字符数计，在中文语境下可近似反映内容的信息密度；其二为具名引用密度，即文本中出现符合作者</w:t>
      </w:r>
      <w:r>
        <w:t xml:space="preserve"> et al., </w:t>
      </w:r>
      <w:r>
        <w:t>年份或会议</w:t>
      </w:r>
      <w:r>
        <w:t>/</w:t>
      </w:r>
      <w:r>
        <w:t>期刊缩写＋具体年份格式的引用次数；其三为不确定性标注次数，即</w:t>
      </w:r>
      <w:r>
        <w:t xml:space="preserve"> [</w:t>
      </w:r>
      <w:r>
        <w:t>不确定</w:t>
      </w:r>
      <w:r>
        <w:t xml:space="preserve">] </w:t>
      </w:r>
      <w:r>
        <w:t>及同义表达在文本中出现的次数。在此基础上，本报告进一步对两种模式给出的全部具名引用逐条进行了网络检索核验，核验结果与讨论见</w:t>
      </w:r>
      <w:r>
        <w:t xml:space="preserve"> 3.4 </w:t>
      </w:r>
      <w:r>
        <w:t>节。</w:t>
      </w:r>
    </w:p>
    <w:p w14:paraId="7442D6FB" w14:textId="77777777" w:rsidR="005D2875" w:rsidRDefault="00B855E4">
      <w:pPr>
        <w:pStyle w:val="2"/>
      </w:pPr>
      <w:r>
        <w:t>3.2 逐题对比</w:t>
      </w:r>
    </w:p>
    <w:p w14:paraId="433E4D00" w14:textId="77777777" w:rsidR="005D2875" w:rsidRDefault="00B855E4">
      <w:pPr>
        <w:pStyle w:val="3"/>
      </w:pPr>
      <w:r>
        <w:t>3.2.1 T1 综述类问题</w:t>
      </w:r>
    </w:p>
    <w:p w14:paraId="1452D978" w14:textId="1752B809" w:rsidR="005D2875" w:rsidRDefault="00B855E4" w:rsidP="00CB13BE">
      <w:pPr>
        <w:spacing w:before="160" w:after="80" w:line="300" w:lineRule="auto"/>
        <w:ind w:firstLine="420"/>
      </w:pPr>
      <w:r w:rsidRPr="00CB13BE">
        <w:rPr>
          <w:b/>
          <w:bCs/>
        </w:rPr>
        <w:t>普通模式（</w:t>
      </w:r>
      <w:r w:rsidRPr="00CB13BE">
        <w:rPr>
          <w:b/>
          <w:bCs/>
        </w:rPr>
        <w:t>Gemini 3.5 Flash</w:t>
      </w:r>
      <w:r w:rsidRPr="00CB13BE">
        <w:rPr>
          <w:b/>
          <w:bCs/>
        </w:rPr>
        <w:t>）表现</w:t>
      </w:r>
      <w:r w:rsidR="00CB13BE" w:rsidRPr="00CB13BE">
        <w:t>：</w:t>
      </w:r>
      <w:r w:rsidRPr="00CB13BE">
        <w:t>该题下</w:t>
      </w:r>
      <w:r w:rsidRPr="00CB13BE">
        <w:t xml:space="preserve"> Gemini 3.5 Flash </w:t>
      </w:r>
      <w:r w:rsidRPr="00CB13BE">
        <w:t>的输出长度约为</w:t>
      </w:r>
      <w:r w:rsidRPr="00CB13BE">
        <w:t xml:space="preserve"> 1489 </w:t>
      </w:r>
      <w:r w:rsidRPr="00CB13BE">
        <w:t>字符（不含空白），全文未出现一次符合作者</w:t>
      </w:r>
      <w:r w:rsidRPr="00CB13BE">
        <w:t>+</w:t>
      </w:r>
      <w:r w:rsidRPr="00CB13BE">
        <w:t>年份或会议缩写</w:t>
      </w:r>
      <w:r w:rsidRPr="00CB13BE">
        <w:t>+</w:t>
      </w:r>
      <w:r w:rsidRPr="00CB13BE">
        <w:t>年份格式的具名引用，仅在跨模态推理部分对自己给出的模型名称</w:t>
      </w:r>
      <w:r w:rsidRPr="00CB13BE">
        <w:t>MIND</w:t>
      </w:r>
      <w:r w:rsidRPr="00CB13BE">
        <w:t>（</w:t>
      </w:r>
      <w:r w:rsidRPr="00CB13BE">
        <w:t>Multimodal Integration and Knowledge Diffusion</w:t>
      </w:r>
      <w:r w:rsidRPr="00CB13BE">
        <w:t>）主动标注了一处</w:t>
      </w:r>
      <w:r w:rsidRPr="00CB13BE">
        <w:t xml:space="preserve"> [</w:t>
      </w:r>
      <w:r w:rsidRPr="00CB13BE">
        <w:t>不确定：具体拼写或为类似基于图的推理网络</w:t>
      </w:r>
      <w:r w:rsidRPr="00CB13BE">
        <w:t>]</w:t>
      </w:r>
      <w:r w:rsidRPr="00CB13BE">
        <w:t>。内容上，图文不一致检测部分提到了</w:t>
      </w:r>
      <w:r w:rsidRPr="00CB13BE">
        <w:t xml:space="preserve"> SAFE </w:t>
      </w:r>
      <w:r w:rsidRPr="00CB13BE">
        <w:t>与</w:t>
      </w:r>
      <w:r w:rsidRPr="00CB13BE">
        <w:t>CAE</w:t>
      </w:r>
      <w:r w:rsidRPr="00CB13BE">
        <w:t>（相似度与对齐机制、细粒度图文匹配两条路线，并提及</w:t>
      </w:r>
      <w:r w:rsidRPr="00CB13BE">
        <w:t xml:space="preserve"> Faster R-CNN </w:t>
      </w:r>
      <w:r w:rsidRPr="00CB13BE">
        <w:t>目标检测用于实体级对齐）；跨模态推理部分提出了多模态图神经网络（</w:t>
      </w:r>
      <w:r w:rsidRPr="00CB13BE">
        <w:t>MUGNNs</w:t>
      </w:r>
      <w:r w:rsidRPr="00CB13BE">
        <w:t>）与基于</w:t>
      </w:r>
      <w:r w:rsidRPr="00CB13BE">
        <w:t xml:space="preserve"> CLIP/BLIP-2 </w:t>
      </w:r>
      <w:r w:rsidRPr="00CB13BE">
        <w:t>的链式思考提示词工程两条路线；证据获取部分提出了多模态检索增强生成</w:t>
      </w:r>
      <w:r w:rsidRPr="00CB13BE">
        <w:t>/</w:t>
      </w:r>
      <w:r w:rsidRPr="00CB13BE">
        <w:t>分类（</w:t>
      </w:r>
      <w:r w:rsidRPr="00CB13BE">
        <w:t>M-RAG</w:t>
      </w:r>
      <w:r w:rsidRPr="00CB13BE">
        <w:t>）框架，并点名了一个称为</w:t>
      </w:r>
      <w:r w:rsidRPr="00CB13BE">
        <w:t>MRE</w:t>
      </w:r>
      <w:r w:rsidRPr="00CB13BE">
        <w:t>（</w:t>
      </w:r>
      <w:r w:rsidRPr="00CB13BE">
        <w:t>Multimodal Retrieval-Enhanced</w:t>
      </w:r>
      <w:r w:rsidRPr="00CB13BE">
        <w:t>）的框架，同时提及利用反向图像搜索与</w:t>
      </w:r>
      <w:r w:rsidRPr="00CB13BE">
        <w:t xml:space="preserve"> Snopes </w:t>
      </w:r>
      <w:r w:rsidRPr="00CB13BE">
        <w:t>等事实核查网站进行证据融合。整体行文紧凑，三段式结构清晰，但普遍以概念性、机制性描述为主，较少给出可直接检索核实的作者与年份信息。值得注意的是，</w:t>
      </w:r>
      <w:r w:rsidRPr="00CB13BE">
        <w:t xml:space="preserve">Flash </w:t>
      </w:r>
      <w:r w:rsidRPr="00CB13BE">
        <w:t>在描述</w:t>
      </w:r>
      <w:r w:rsidRPr="00CB13BE">
        <w:t>CAFE</w:t>
      </w:r>
      <w:r w:rsidRPr="00CB13BE">
        <w:t>这一常见方法时将其简写为</w:t>
      </w:r>
      <w:r w:rsidRPr="00CB13BE">
        <w:t>CAE</w:t>
      </w:r>
      <w:r w:rsidRPr="00CB13BE">
        <w:t>，与学界通行缩写不完全一致</w:t>
      </w:r>
      <w:r w:rsidRPr="00CB13BE">
        <w:t>——</w:t>
      </w:r>
      <w:r w:rsidRPr="00CB13BE">
        <w:t>这虽不构成典型意义上的编造引用，但反映出在不进行显式思考的情况</w:t>
      </w:r>
      <w:r>
        <w:t>下，模型对专有名词的记忆保真度可能打折扣，是一种更隐蔽、不易被察觉的准确性瑕疵。</w:t>
      </w:r>
    </w:p>
    <w:p w14:paraId="0D8C88E2" w14:textId="3E174F93" w:rsidR="005D2875" w:rsidRDefault="00B855E4" w:rsidP="00CB13BE">
      <w:pPr>
        <w:spacing w:before="160" w:line="300" w:lineRule="auto"/>
        <w:ind w:firstLine="420"/>
      </w:pPr>
      <w:r w:rsidRPr="00CB13BE">
        <w:rPr>
          <w:b/>
          <w:bCs/>
        </w:rPr>
        <w:t>深度思考模式（</w:t>
      </w:r>
      <w:r w:rsidRPr="00CB13BE">
        <w:rPr>
          <w:b/>
          <w:bCs/>
        </w:rPr>
        <w:t>Gemini 3.1 Pro</w:t>
      </w:r>
      <w:r w:rsidRPr="00CB13BE">
        <w:rPr>
          <w:b/>
          <w:bCs/>
        </w:rPr>
        <w:t>）表现</w:t>
      </w:r>
      <w:r w:rsidR="00CB13BE">
        <w:rPr>
          <w:rFonts w:hint="eastAsia"/>
        </w:rPr>
        <w:t>：</w:t>
      </w:r>
      <w:r>
        <w:t>该题下</w:t>
      </w:r>
      <w:r>
        <w:t xml:space="preserve"> Gemini 3.1 Pro </w:t>
      </w:r>
      <w:r>
        <w:t>的输出长度约为</w:t>
      </w:r>
      <w:r>
        <w:t xml:space="preserve"> 1399 </w:t>
      </w:r>
      <w:r>
        <w:t>字符，在字数上反而略短于普通模式</w:t>
      </w:r>
      <w:r w:rsidR="00CB13BE">
        <w:rPr>
          <w:rFonts w:hint="eastAsia"/>
        </w:rPr>
        <w:t>。</w:t>
      </w:r>
      <w:r>
        <w:t>这与</w:t>
      </w:r>
      <w:r>
        <w:t xml:space="preserve"> DeepSeek </w:t>
      </w:r>
      <w:r>
        <w:t>组深度思考模式的输出必然更长的规律并不完全一致，提示篇幅膨胀幅度可能因模型而异（详见</w:t>
      </w:r>
      <w:r>
        <w:t xml:space="preserve"> 3.3 </w:t>
      </w:r>
      <w:r>
        <w:t>节）。但在引用密度上，</w:t>
      </w:r>
      <w:r>
        <w:t xml:space="preserve">3.1 Pro </w:t>
      </w:r>
      <w:r>
        <w:t>在本题给出了三处具名且带有明确年份</w:t>
      </w:r>
      <w:r>
        <w:t>/</w:t>
      </w:r>
      <w:r>
        <w:t>会议信息的引用：图文不一致检测部分点名</w:t>
      </w:r>
      <w:r>
        <w:t xml:space="preserve"> SAFE </w:t>
      </w:r>
      <w:r>
        <w:t>与</w:t>
      </w:r>
      <w:r>
        <w:t xml:space="preserve"> CAFE</w:t>
      </w:r>
      <w:r>
        <w:t>（标注为</w:t>
      </w:r>
      <w:r>
        <w:t xml:space="preserve"> CVPR 2022</w:t>
      </w:r>
      <w:r>
        <w:t>），跨模态推理部分提出了基于场景图生成与跨模态图注意力网络（</w:t>
      </w:r>
      <w:r>
        <w:t>Cross-modal GAT</w:t>
      </w:r>
      <w:r>
        <w:t>）的推理路线，并点名</w:t>
      </w:r>
      <w:r>
        <w:t xml:space="preserve"> SpotFake</w:t>
      </w:r>
      <w:r>
        <w:t>（标注为</w:t>
      </w:r>
      <w:r>
        <w:t xml:space="preserve"> IEEE BigMM 2019</w:t>
      </w:r>
      <w:r>
        <w:t>）及其基于</w:t>
      </w:r>
      <w:r>
        <w:t xml:space="preserve"> ViLBERT</w:t>
      </w:r>
      <w:r>
        <w:t>、</w:t>
      </w:r>
      <w:r>
        <w:t xml:space="preserve">CLIP </w:t>
      </w:r>
      <w:r>
        <w:t>的交叉注意力变体；证据获取部分给出了一个具体到期刊与年份的引用</w:t>
      </w:r>
      <w:r>
        <w:t>——MERF</w:t>
      </w:r>
      <w:r>
        <w:t>（</w:t>
      </w:r>
      <w:r>
        <w:t>Multimodal Evidence Retrieval and Forensics</w:t>
      </w:r>
      <w:r>
        <w:t>，标注为</w:t>
      </w:r>
      <w:r>
        <w:t xml:space="preserve"> MDPI 2026</w:t>
      </w:r>
      <w:r>
        <w:t>），这是本题两种模式中唯一出现期刊</w:t>
      </w:r>
      <w:r>
        <w:t>/</w:t>
      </w:r>
      <w:r>
        <w:t>会议名称＋具体出版年份组合的引用。整体上，深度思考模式的表述更加学术</w:t>
      </w:r>
      <w:r>
        <w:lastRenderedPageBreak/>
        <w:t>化，专有名词与技术路线的对应关系也更清晰。</w:t>
      </w:r>
    </w:p>
    <w:p w14:paraId="37B79D90" w14:textId="77777777" w:rsidR="00CB13BE" w:rsidRDefault="00CB13BE" w:rsidP="00CB13BE">
      <w:pPr>
        <w:spacing w:after="160" w:line="300" w:lineRule="auto"/>
        <w:rPr>
          <w:b/>
          <w:bCs/>
          <w:color w:val="2E5395"/>
        </w:rPr>
      </w:pPr>
    </w:p>
    <w:p w14:paraId="3E6F8A2A" w14:textId="7A071496" w:rsidR="005D2875" w:rsidRDefault="00CB13BE" w:rsidP="00CB13BE">
      <w:pPr>
        <w:spacing w:after="160" w:line="300" w:lineRule="auto"/>
        <w:ind w:firstLine="420"/>
      </w:pPr>
      <w:r w:rsidRPr="00CB13BE">
        <w:rPr>
          <w:rFonts w:hint="eastAsia"/>
          <w:b/>
          <w:bCs/>
        </w:rPr>
        <w:t>检验结果：</w:t>
      </w:r>
      <w:r w:rsidR="00B855E4">
        <w:t>经逐条检索核实：</w:t>
      </w:r>
      <w:r w:rsidR="00B855E4">
        <w:t xml:space="preserve">CAFE </w:t>
      </w:r>
      <w:r w:rsidR="00B855E4">
        <w:t>确系真实论文（</w:t>
      </w:r>
      <w:r w:rsidR="00B855E4">
        <w:t xml:space="preserve">Chen </w:t>
      </w:r>
      <w:r w:rsidR="00B855E4">
        <w:t>等，《</w:t>
      </w:r>
      <w:r w:rsidR="00B855E4">
        <w:t>Cross-modal Ambiguity Learning for Multimodal Fake News Detection</w:t>
      </w:r>
      <w:r w:rsidR="00B855E4">
        <w:t>》），但其发表会议应为</w:t>
      </w:r>
      <w:r w:rsidR="00B855E4">
        <w:t xml:space="preserve"> ACM Web Conference</w:t>
      </w:r>
      <w:r w:rsidR="00B855E4">
        <w:t>（</w:t>
      </w:r>
      <w:r w:rsidR="00B855E4">
        <w:t>WWW</w:t>
      </w:r>
      <w:r w:rsidR="00B855E4">
        <w:t>）</w:t>
      </w:r>
      <w:r w:rsidR="00B855E4">
        <w:t>2022</w:t>
      </w:r>
      <w:r w:rsidR="00B855E4">
        <w:t>，而非</w:t>
      </w:r>
      <w:r w:rsidR="00B855E4">
        <w:t xml:space="preserve"> Gemini </w:t>
      </w:r>
      <w:r w:rsidR="00B855E4">
        <w:t>所标注的</w:t>
      </w:r>
      <w:r w:rsidR="00B855E4">
        <w:t xml:space="preserve"> CVPR 2022——</w:t>
      </w:r>
      <w:r w:rsidR="00B855E4">
        <w:t>这是一处具体、可核实的会议名称错误，属于核心论文真实存在、方法描述基本准确，但外围元数据（发表</w:t>
      </w:r>
      <w:r w:rsidR="00B855E4">
        <w:t xml:space="preserve"> venue</w:t>
      </w:r>
      <w:r w:rsidR="00B855E4">
        <w:t>）被替换为另一个同样知名却并不相关的顶会缩写的典型细节性幻觉。</w:t>
      </w:r>
      <w:r w:rsidR="00B855E4">
        <w:t>SpotFake</w:t>
      </w:r>
      <w:r w:rsidR="00B855E4">
        <w:t>（</w:t>
      </w:r>
      <w:r w:rsidR="00B855E4">
        <w:t>IEEE BigMM 2019</w:t>
      </w:r>
      <w:r w:rsidR="00B855E4">
        <w:t>）经核实基本准确，与</w:t>
      </w:r>
      <w:r w:rsidR="00B855E4">
        <w:t xml:space="preserve"> 2019 </w:t>
      </w:r>
      <w:r w:rsidR="00B855E4">
        <w:t>年</w:t>
      </w:r>
      <w:r w:rsidR="00B855E4">
        <w:t xml:space="preserve"> IEEE </w:t>
      </w:r>
      <w:r w:rsidR="00B855E4">
        <w:t>第五届多媒体大数据国际会议（</w:t>
      </w:r>
      <w:r w:rsidR="00B855E4">
        <w:t>BigMM</w:t>
      </w:r>
      <w:r w:rsidR="00B855E4">
        <w:t>）的公开记录一致。</w:t>
      </w:r>
      <w:r w:rsidR="00B855E4">
        <w:t xml:space="preserve">MERF </w:t>
      </w:r>
      <w:r w:rsidR="00B855E4">
        <w:t>经检索核实确系真实文献（《</w:t>
      </w:r>
      <w:r w:rsidR="00B855E4">
        <w:t>Multimodal Fake News Detection via Evidence Retrieval and Visual Forensics with Large Vision-Language Models</w:t>
      </w:r>
      <w:r w:rsidR="00B855E4">
        <w:t>》，发表于</w:t>
      </w:r>
      <w:r w:rsidR="00B855E4">
        <w:t xml:space="preserve"> MDPI </w:t>
      </w:r>
      <w:r w:rsidR="00B855E4">
        <w:t>旗下</w:t>
      </w:r>
      <w:r w:rsidR="00B855E4">
        <w:t xml:space="preserve"> Information </w:t>
      </w:r>
      <w:r w:rsidR="00B855E4">
        <w:t>期刊，</w:t>
      </w:r>
      <w:r w:rsidR="00B855E4">
        <w:t xml:space="preserve">2026 </w:t>
      </w:r>
      <w:r w:rsidR="00B855E4">
        <w:t>年），说明该模型对截至其知识范围内的极新文献仍具备较强的检索</w:t>
      </w:r>
      <w:r w:rsidR="00B855E4">
        <w:t>/</w:t>
      </w:r>
      <w:r w:rsidR="00B855E4">
        <w:t>记忆能力，</w:t>
      </w:r>
      <w:r w:rsidR="00B855E4" w:rsidRPr="00CB13BE">
        <w:rPr>
          <w:b/>
          <w:bCs/>
          <w:color w:val="C00000"/>
        </w:rPr>
        <w:t>这与深度思考模式必然编造论文的刻板印象相反，也提示深度思考模式给出的具体引用中确有相当比例是准确的，只是准确率并非百分之百</w:t>
      </w:r>
      <w:r w:rsidR="00B855E4">
        <w:t>，且模型自身并不能可靠地区分哪些细节记得准、哪些记得不准，这正是要求人工核验的根本原因。</w:t>
      </w:r>
    </w:p>
    <w:p w14:paraId="58144872" w14:textId="6B623EFE" w:rsidR="005D2875" w:rsidRDefault="00B855E4">
      <w:pPr>
        <w:spacing w:after="160" w:line="300" w:lineRule="auto"/>
        <w:ind w:firstLine="480"/>
      </w:pPr>
      <w:r w:rsidRPr="00CB13BE">
        <w:rPr>
          <w:b/>
          <w:bCs/>
        </w:rPr>
        <w:t>小结（</w:t>
      </w:r>
      <w:r w:rsidRPr="00CB13BE">
        <w:rPr>
          <w:b/>
          <w:bCs/>
        </w:rPr>
        <w:t>T1</w:t>
      </w:r>
      <w:r w:rsidRPr="00CB13BE">
        <w:rPr>
          <w:b/>
          <w:bCs/>
        </w:rPr>
        <w:t>）</w:t>
      </w:r>
      <w:r>
        <w:t>：在综述类任务中，</w:t>
      </w:r>
      <w:r>
        <w:t xml:space="preserve">Gemini </w:t>
      </w:r>
      <w:r>
        <w:t>深度思考模式给出的具名引用密度远高于普通模式（</w:t>
      </w:r>
      <w:r>
        <w:t xml:space="preserve">3 </w:t>
      </w:r>
      <w:r>
        <w:t>处</w:t>
      </w:r>
      <w:r>
        <w:t xml:space="preserve"> vs 0 </w:t>
      </w:r>
      <w:r>
        <w:t>处），带来了更强的学术可核实性表象，但核验发现其中至少一处存在会议名称错误；普通模式虽未提供可核实的引用，规避了此类风险，但也因此难以帮助读者进一步查证或深入阅读原始文献，且其给出的模型简称本身也存在准确性瑕疵，说明未主动引用不代表内容完全没有记忆偏差，只是错误更隐蔽、更不易被察觉。</w:t>
      </w:r>
    </w:p>
    <w:p w14:paraId="1D2C196E" w14:textId="77777777" w:rsidR="005D2875" w:rsidRDefault="00B855E4">
      <w:pPr>
        <w:pStyle w:val="3"/>
      </w:pPr>
      <w:r>
        <w:t>3.2.2 T2 方法对比问题</w:t>
      </w:r>
    </w:p>
    <w:p w14:paraId="6716CABC" w14:textId="764D6086" w:rsidR="005D2875" w:rsidRDefault="00CB13BE">
      <w:pPr>
        <w:spacing w:after="160" w:line="300" w:lineRule="auto"/>
        <w:ind w:firstLine="480"/>
      </w:pPr>
      <w:r w:rsidRPr="00CB13BE">
        <w:rPr>
          <w:b/>
          <w:bCs/>
        </w:rPr>
        <w:t>普通模式（</w:t>
      </w:r>
      <w:r w:rsidRPr="00CB13BE">
        <w:rPr>
          <w:b/>
          <w:bCs/>
        </w:rPr>
        <w:t>Gemini 3.5 Flash</w:t>
      </w:r>
      <w:r w:rsidRPr="00CB13BE">
        <w:rPr>
          <w:b/>
          <w:bCs/>
        </w:rPr>
        <w:t>）表现</w:t>
      </w:r>
      <w:r w:rsidRPr="00CB13BE">
        <w:t>：</w:t>
      </w:r>
      <w:r w:rsidR="00B855E4">
        <w:t>该题下</w:t>
      </w:r>
      <w:r w:rsidR="00B855E4">
        <w:t xml:space="preserve"> Gemini 3.5 Flash </w:t>
      </w:r>
      <w:r w:rsidR="00B855E4">
        <w:t>的输出长度约为</w:t>
      </w:r>
      <w:r w:rsidR="00B855E4">
        <w:t xml:space="preserve"> 1332 </w:t>
      </w:r>
      <w:r w:rsidR="00B855E4">
        <w:t>字符，是该模式三道题中最短的一次，全文同样没有出现符合作者</w:t>
      </w:r>
      <w:r w:rsidR="00B855E4">
        <w:t>+</w:t>
      </w:r>
      <w:r w:rsidR="00B855E4">
        <w:t>年份格式的具名引用。内容上采用了表格对比</w:t>
      </w:r>
      <w:r w:rsidR="00B855E4">
        <w:t xml:space="preserve"> + </w:t>
      </w:r>
      <w:r w:rsidR="00B855E4">
        <w:t>技术细节段落的结构：</w:t>
      </w:r>
      <w:r w:rsidR="00B855E4">
        <w:t xml:space="preserve">VAE </w:t>
      </w:r>
      <w:r w:rsidR="00B855E4">
        <w:t>方法未点名具体论文，仅以</w:t>
      </w:r>
      <w:r w:rsidR="00B855E4">
        <w:t xml:space="preserve">MDFEND / VAE-based </w:t>
      </w:r>
      <w:r w:rsidR="00B855E4">
        <w:t>表征解耦泛称；</w:t>
      </w:r>
      <w:r w:rsidR="00B855E4">
        <w:t xml:space="preserve">LLM </w:t>
      </w:r>
      <w:r w:rsidR="00B855E4">
        <w:t>辩论方法被命名为</w:t>
      </w:r>
      <w:r w:rsidR="00B855E4">
        <w:t>MAD</w:t>
      </w:r>
      <w:r w:rsidR="00B855E4">
        <w:t>（</w:t>
      </w:r>
      <w:r w:rsidR="00B855E4">
        <w:t>Multi-Agent Debate</w:t>
      </w:r>
      <w:r w:rsidR="00B855E4">
        <w:t>）框架，并给出了多模态感知、角色分配与对抗、合议判决三步走流程，但未给出具体论文出处。整体分析框架完整</w:t>
      </w:r>
      <w:r w:rsidR="00B855E4">
        <w:t>——</w:t>
      </w:r>
      <w:r w:rsidR="00B855E4">
        <w:t>计算复杂度、可解释性、泛化能力三个维度均有对应表格与技术细节段落，达到了任务要求的深度，但技术细节的具体性停留在方法论描述层面，未深入到公式或复杂度符号推导。</w:t>
      </w:r>
    </w:p>
    <w:p w14:paraId="0F86D778" w14:textId="219D831E" w:rsidR="005D2875" w:rsidRDefault="00CB13BE">
      <w:pPr>
        <w:spacing w:after="160" w:line="300" w:lineRule="auto"/>
        <w:ind w:firstLine="480"/>
      </w:pPr>
      <w:r w:rsidRPr="00CB13BE">
        <w:rPr>
          <w:b/>
          <w:bCs/>
        </w:rPr>
        <w:t>深度思考模式（</w:t>
      </w:r>
      <w:r w:rsidRPr="00CB13BE">
        <w:rPr>
          <w:b/>
          <w:bCs/>
        </w:rPr>
        <w:t>Gemini 3.1 Pro</w:t>
      </w:r>
      <w:r w:rsidRPr="00CB13BE">
        <w:rPr>
          <w:b/>
          <w:bCs/>
        </w:rPr>
        <w:t>）表现</w:t>
      </w:r>
      <w:r>
        <w:rPr>
          <w:rFonts w:hint="eastAsia"/>
        </w:rPr>
        <w:t>：</w:t>
      </w:r>
      <w:r w:rsidR="00B855E4">
        <w:t>该题下</w:t>
      </w:r>
      <w:r w:rsidR="00B855E4">
        <w:t xml:space="preserve"> Gemini 3.1 Pro </w:t>
      </w:r>
      <w:r w:rsidR="00B855E4">
        <w:t>的输出长度约为</w:t>
      </w:r>
      <w:r w:rsidR="00B855E4">
        <w:t xml:space="preserve"> 1667 </w:t>
      </w:r>
      <w:r w:rsidR="00B855E4">
        <w:t>字符，出现了三处具名引用：</w:t>
      </w:r>
      <w:r w:rsidR="00B855E4">
        <w:t xml:space="preserve">VAE </w:t>
      </w:r>
      <w:r w:rsidR="00B855E4">
        <w:t>路线点名</w:t>
      </w:r>
      <w:r w:rsidR="00B855E4">
        <w:t xml:space="preserve"> MVAE</w:t>
      </w:r>
      <w:r w:rsidR="00B855E4">
        <w:t>（标注为</w:t>
      </w:r>
      <w:r w:rsidR="00B855E4">
        <w:t xml:space="preserve"> Khattar et al., WWW 2019</w:t>
      </w:r>
      <w:r w:rsidR="00B855E4">
        <w:t>）；</w:t>
      </w:r>
      <w:r w:rsidR="00B855E4">
        <w:t xml:space="preserve">LLM </w:t>
      </w:r>
      <w:r w:rsidR="00B855E4">
        <w:t>辩论路线提及</w:t>
      </w:r>
      <w:r w:rsidR="00B855E4">
        <w:t>LLM-Consensus</w:t>
      </w:r>
      <w:r w:rsidR="00B855E4">
        <w:t>（标注为</w:t>
      </w:r>
      <w:r w:rsidR="00B855E4">
        <w:t xml:space="preserve"> arXiv 2024</w:t>
      </w:r>
      <w:r w:rsidR="00B855E4">
        <w:t>）与</w:t>
      </w:r>
      <w:r w:rsidR="00B855E4">
        <w:t>Debate-to-Detect</w:t>
      </w:r>
      <w:r w:rsidR="00B855E4">
        <w:t>（标注为</w:t>
      </w:r>
      <w:r w:rsidR="00B855E4">
        <w:t xml:space="preserve"> 2026</w:t>
      </w:r>
      <w:r w:rsidR="00B855E4">
        <w:t>）。内容上不仅给出了对比表格，还专门展开了</w:t>
      </w:r>
      <w:r w:rsidR="00B855E4">
        <w:t xml:space="preserve"> ELBO</w:t>
      </w:r>
      <w:r w:rsidR="00B855E4">
        <w:t>（证据下界）的公式化表达，并用复杂度符号</w:t>
      </w:r>
      <w:r w:rsidR="00B855E4">
        <w:t xml:space="preserve"> O(N) </w:t>
      </w:r>
      <w:r w:rsidR="00B855E4">
        <w:t>描述</w:t>
      </w:r>
      <w:r w:rsidR="00B855E4">
        <w:t xml:space="preserve"> VAE </w:t>
      </w:r>
      <w:r w:rsidR="00B855E4">
        <w:t>的推理开销，用智能体数量、辩论轮数、单次交互上下文长度等符号描述</w:t>
      </w:r>
      <w:r w:rsidR="00B855E4">
        <w:t xml:space="preserve"> LLM </w:t>
      </w:r>
      <w:r w:rsidR="00B855E4">
        <w:t>辩论复杂度随轮数增长的趋势；在可解释性部分，还构造了一段虚拟的辩论片段作为示例（反方指出正方引用的图片中包含晚于文本所述事件年份的车型，从而形成时间线冲突），用以具象化说明</w:t>
      </w:r>
      <w:r w:rsidR="00B855E4">
        <w:t xml:space="preserve"> LLM </w:t>
      </w:r>
      <w:r w:rsidR="00B855E4">
        <w:t>辩论输出的可读性；在泛化能力部分，模型主动对举例中的生成式</w:t>
      </w:r>
      <w:r w:rsidR="00B855E4">
        <w:t xml:space="preserve"> AI </w:t>
      </w:r>
      <w:r w:rsidR="00B855E4">
        <w:t>模型名称标注了</w:t>
      </w:r>
      <w:r w:rsidR="00B855E4">
        <w:t xml:space="preserve"> [</w:t>
      </w:r>
      <w:r w:rsidR="00B855E4">
        <w:t>不确定</w:t>
      </w:r>
      <w:r w:rsidR="00B855E4">
        <w:t>]</w:t>
      </w:r>
      <w:r w:rsidR="00B855E4">
        <w:t>，体现出一定的自我限定意识。</w:t>
      </w:r>
    </w:p>
    <w:p w14:paraId="2A24E213" w14:textId="3E089638" w:rsidR="005D2875" w:rsidRDefault="00CB13BE">
      <w:pPr>
        <w:spacing w:after="160" w:line="300" w:lineRule="auto"/>
        <w:ind w:firstLine="480"/>
      </w:pPr>
      <w:r w:rsidRPr="00CB13BE">
        <w:rPr>
          <w:rFonts w:hint="eastAsia"/>
          <w:b/>
          <w:bCs/>
        </w:rPr>
        <w:lastRenderedPageBreak/>
        <w:t>检验结果：</w:t>
      </w:r>
      <w:r w:rsidR="00B855E4">
        <w:t>经核实，</w:t>
      </w:r>
      <w:r w:rsidR="00B855E4">
        <w:t>MVAE</w:t>
      </w:r>
      <w:r w:rsidR="00B855E4">
        <w:t>（</w:t>
      </w:r>
      <w:r w:rsidR="00B855E4">
        <w:t>Khattar et al., WWW 2019</w:t>
      </w:r>
      <w:r w:rsidR="00B855E4">
        <w:t>）确系真实且具有代表性的奠基性工作（《</w:t>
      </w:r>
      <w:r w:rsidR="00B855E4">
        <w:t>MVAE: Multimodal Variational Autoencoder for Fake News Detection</w:t>
      </w:r>
      <w:r w:rsidR="00B855E4">
        <w:t>》），是</w:t>
      </w:r>
      <w:r w:rsidR="00B855E4">
        <w:t xml:space="preserve"> VAE </w:t>
      </w:r>
      <w:r w:rsidR="00B855E4">
        <w:t>路线在虚假新闻检测领域最常被引用的方法之一，引用准确。</w:t>
      </w:r>
      <w:r w:rsidR="00B855E4">
        <w:t>Debate-to-Detect</w:t>
      </w:r>
      <w:r w:rsidR="00B855E4">
        <w:t>经检索确系真实论文，但其首次公开时间为</w:t>
      </w:r>
      <w:r w:rsidR="00B855E4">
        <w:t xml:space="preserve"> 2025 </w:t>
      </w:r>
      <w:r w:rsidR="00B855E4">
        <w:t>年（对应</w:t>
      </w:r>
      <w:r w:rsidR="00B855E4">
        <w:t xml:space="preserve"> arXiv </w:t>
      </w:r>
      <w:r w:rsidR="00B855E4">
        <w:t>编号</w:t>
      </w:r>
      <w:r w:rsidR="00B855E4">
        <w:t xml:space="preserve"> 2505.18596</w:t>
      </w:r>
      <w:r w:rsidR="00B855E4">
        <w:t>，</w:t>
      </w:r>
      <w:r w:rsidR="00B855E4">
        <w:t xml:space="preserve">2025 </w:t>
      </w:r>
      <w:r w:rsidR="00B855E4">
        <w:t>年</w:t>
      </w:r>
      <w:r w:rsidR="00B855E4">
        <w:t xml:space="preserve"> 5 </w:t>
      </w:r>
      <w:r w:rsidR="00B855E4">
        <w:t>月），而非</w:t>
      </w:r>
      <w:r w:rsidR="00B855E4">
        <w:t xml:space="preserve"> Gemini </w:t>
      </w:r>
      <w:r w:rsidR="00B855E4">
        <w:t>所标注的</w:t>
      </w:r>
      <w:r w:rsidR="00B855E4">
        <w:t>2026——</w:t>
      </w:r>
      <w:r w:rsidR="00B855E4">
        <w:t>这同样是一处论文真实存在，但具体年份被后移的细节性错误，且该处并未被模型标注为</w:t>
      </w:r>
      <w:r w:rsidR="00B855E4">
        <w:t xml:space="preserve"> [</w:t>
      </w:r>
      <w:r w:rsidR="00B855E4">
        <w:t>不确定</w:t>
      </w:r>
      <w:r w:rsidR="00B855E4">
        <w:t>]</w:t>
      </w:r>
      <w:r w:rsidR="00B855E4">
        <w:t>，说明模型对该细节的表述带有虚假的高置信度。</w:t>
      </w:r>
      <w:r w:rsidR="00B855E4">
        <w:t>LLM-Consensus</w:t>
      </w:r>
      <w:r w:rsidR="00B855E4">
        <w:t>由于命名较为泛化，笔者未能在检索结果中定位到与该名称精确对应的单一论文，标记为存疑，不排除是对该方向若干工作（如基于共识</w:t>
      </w:r>
      <w:r w:rsidR="00B855E4">
        <w:t>/</w:t>
      </w:r>
      <w:r w:rsidR="00B855E4">
        <w:t>集成的</w:t>
      </w:r>
      <w:r w:rsidR="00B855E4">
        <w:t xml:space="preserve"> LLM </w:t>
      </w:r>
      <w:r w:rsidR="00B855E4">
        <w:t>虚假信息检测研究）的泛化概括，而非某篇确切存在的论文，这一情形本身也应被模型标注为</w:t>
      </w:r>
      <w:r w:rsidR="00B855E4">
        <w:t xml:space="preserve"> [</w:t>
      </w:r>
      <w:r w:rsidR="00B855E4">
        <w:t>不确定</w:t>
      </w:r>
      <w:r w:rsidR="00B855E4">
        <w:t xml:space="preserve">] </w:t>
      </w:r>
      <w:r w:rsidR="00B855E4">
        <w:t>却未被标注，是本题中最值得警惕的一处。</w:t>
      </w:r>
    </w:p>
    <w:p w14:paraId="6401BB82" w14:textId="63BC3EF1" w:rsidR="005D2875" w:rsidRDefault="00B855E4">
      <w:pPr>
        <w:spacing w:after="160" w:line="300" w:lineRule="auto"/>
        <w:ind w:firstLine="480"/>
      </w:pPr>
      <w:r w:rsidRPr="0083082A">
        <w:rPr>
          <w:b/>
          <w:bCs/>
        </w:rPr>
        <w:t>小结（</w:t>
      </w:r>
      <w:r w:rsidRPr="0083082A">
        <w:rPr>
          <w:b/>
          <w:bCs/>
        </w:rPr>
        <w:t>T2</w:t>
      </w:r>
      <w:r w:rsidRPr="0083082A">
        <w:rPr>
          <w:b/>
          <w:bCs/>
        </w:rPr>
        <w:t>）</w:t>
      </w:r>
      <w:r>
        <w:t>：与</w:t>
      </w:r>
      <w:r>
        <w:t xml:space="preserve"> T1 </w:t>
      </w:r>
      <w:r>
        <w:t>类似的模式再次出现</w:t>
      </w:r>
      <w:r w:rsidR="0083082A">
        <w:rPr>
          <w:rFonts w:hint="eastAsia"/>
        </w:rPr>
        <w:t>，</w:t>
      </w:r>
      <w:r>
        <w:t>深度思考模式提供的具体引用中，核心存在性判断大多可靠（</w:t>
      </w:r>
      <w:r>
        <w:t>MVAE</w:t>
      </w:r>
      <w:r>
        <w:t>、</w:t>
      </w:r>
      <w:r>
        <w:t xml:space="preserve">Debate-to-Detect </w:t>
      </w:r>
      <w:r>
        <w:t>均确有其文），但年份</w:t>
      </w:r>
      <w:r>
        <w:t xml:space="preserve">/venue </w:t>
      </w:r>
      <w:r>
        <w:t>等元数据存在误差，且并非所有该标注不确定的地方都被恰当标注；与此同时，深度思考模式在本题展现出的公式化、符号化表达能力（</w:t>
      </w:r>
      <w:r>
        <w:t xml:space="preserve">ELBO </w:t>
      </w:r>
      <w:r>
        <w:t>公式展开、复杂度符号推导）是普通模式完全未触及的维度，说明</w:t>
      </w:r>
      <w:r w:rsidRPr="0083082A">
        <w:rPr>
          <w:b/>
          <w:bCs/>
        </w:rPr>
        <w:t>思考模式在需要多步骤形式化推导的任务上确实具有普通模式难以替代的增益，</w:t>
      </w:r>
      <w:r>
        <w:t>这与</w:t>
      </w:r>
      <w:r>
        <w:t xml:space="preserve"> DeepSeek </w:t>
      </w:r>
      <w:r>
        <w:t>组方法对比类任务中深度思考补充了公式级</w:t>
      </w:r>
      <w:r>
        <w:t>/</w:t>
      </w:r>
      <w:r>
        <w:t>机制级细节的发现方向一致。</w:t>
      </w:r>
    </w:p>
    <w:p w14:paraId="31834471" w14:textId="77777777" w:rsidR="005D2875" w:rsidRDefault="00B855E4">
      <w:pPr>
        <w:pStyle w:val="3"/>
      </w:pPr>
      <w:r>
        <w:t>3.2.3 T3 研究设计问题</w:t>
      </w:r>
    </w:p>
    <w:p w14:paraId="64349CAC" w14:textId="117CE8AC" w:rsidR="005D2875" w:rsidRDefault="00CB13BE">
      <w:pPr>
        <w:spacing w:after="160" w:line="300" w:lineRule="auto"/>
        <w:ind w:firstLine="480"/>
      </w:pPr>
      <w:r w:rsidRPr="00CB13BE">
        <w:rPr>
          <w:b/>
          <w:bCs/>
        </w:rPr>
        <w:t>普通模式（</w:t>
      </w:r>
      <w:r w:rsidRPr="00CB13BE">
        <w:rPr>
          <w:b/>
          <w:bCs/>
        </w:rPr>
        <w:t>Gemini 3.5 Flash</w:t>
      </w:r>
      <w:r w:rsidRPr="00CB13BE">
        <w:rPr>
          <w:b/>
          <w:bCs/>
        </w:rPr>
        <w:t>）表现</w:t>
      </w:r>
      <w:r w:rsidRPr="00CB13BE">
        <w:t>：</w:t>
      </w:r>
      <w:r w:rsidR="00B855E4">
        <w:t>该题下</w:t>
      </w:r>
      <w:r w:rsidR="00B855E4">
        <w:t xml:space="preserve"> Gemini 3.5 Flash </w:t>
      </w:r>
      <w:r w:rsidR="00B855E4">
        <w:t>的输出长度约为</w:t>
      </w:r>
      <w:r w:rsidR="00B855E4">
        <w:t xml:space="preserve"> 1680 </w:t>
      </w:r>
      <w:r w:rsidR="00B855E4">
        <w:t>字符，是该模式三道题中最长的一次，超过了其在</w:t>
      </w:r>
      <w:r w:rsidR="00B855E4">
        <w:t xml:space="preserve"> T1</w:t>
      </w:r>
      <w:r w:rsidR="00B855E4">
        <w:t>、</w:t>
      </w:r>
      <w:r w:rsidR="00B855E4">
        <w:t xml:space="preserve">T2 </w:t>
      </w:r>
      <w:r w:rsidR="00B855E4">
        <w:t>上的表现。内容上设计了四类评估指标（</w:t>
      </w:r>
      <w:r w:rsidR="00B855E4">
        <w:t>Macro-F1/Accuracy/AUC-ROC</w:t>
      </w:r>
      <w:r w:rsidR="00B855E4">
        <w:t>、置信度校准度</w:t>
      </w:r>
      <w:r w:rsidR="00B855E4">
        <w:t xml:space="preserve"> ECE</w:t>
      </w:r>
      <w:r w:rsidR="00B855E4">
        <w:t>、拒绝回答率</w:t>
      </w:r>
      <w:r w:rsidR="00B855E4">
        <w:t xml:space="preserve"> Refusal Rate</w:t>
      </w:r>
      <w:r w:rsidR="00B855E4">
        <w:t>、解释合理性的人工评估）；基线模型选择逻辑分三档</w:t>
      </w:r>
      <w:r w:rsidR="00B855E4">
        <w:t>——</w:t>
      </w:r>
      <w:r w:rsidR="00B855E4">
        <w:t>有监督传统模型（</w:t>
      </w:r>
      <w:r w:rsidR="00B855E4">
        <w:t xml:space="preserve">MDFEND/CAE </w:t>
      </w:r>
      <w:r w:rsidR="00B855E4">
        <w:t>全参数微调）作为上界、纯文本零样本大模型作为消融对照、</w:t>
      </w:r>
      <w:r w:rsidR="00B855E4">
        <w:t>CLIP</w:t>
      </w:r>
      <w:r w:rsidR="00B855E4">
        <w:t>（</w:t>
      </w:r>
      <w:r w:rsidR="00B855E4">
        <w:t>ViT-B/32</w:t>
      </w:r>
      <w:r w:rsidR="00B855E4">
        <w:t>）双塔嵌入模型作为表征对齐基线；假阳性样本设计了反讽</w:t>
      </w:r>
      <w:r w:rsidR="00B855E4">
        <w:t>/</w:t>
      </w:r>
      <w:r w:rsidR="00B855E4">
        <w:t>夸张修辞型（举例：某国领导人揉眼睛的真实照片配以夸张文字评论）与历史档案照</w:t>
      </w:r>
      <w:r w:rsidR="00B855E4">
        <w:t>/</w:t>
      </w:r>
      <w:r w:rsidR="00B855E4">
        <w:t>隐喻配图型（举例：因现场无实时高清图而采用资料图，并标注图文无关的真实报道）两类，且具体案例贴近当下真实媒体实践（提及资料图标注惯例）。全文依然未给出任何符合作者</w:t>
      </w:r>
      <w:r w:rsidR="00B855E4">
        <w:t>+</w:t>
      </w:r>
      <w:r w:rsidR="00B855E4">
        <w:t>年份格式、可供检索核实的学术引用，规避了幻觉风险但也降低了内容在学术严谨性外观上的呈现。</w:t>
      </w:r>
    </w:p>
    <w:p w14:paraId="20A5EC6D" w14:textId="32BBC7CD" w:rsidR="005D2875" w:rsidRDefault="00CB13BE">
      <w:pPr>
        <w:spacing w:after="160" w:line="300" w:lineRule="auto"/>
        <w:ind w:firstLine="480"/>
      </w:pPr>
      <w:r w:rsidRPr="00CB13BE">
        <w:rPr>
          <w:b/>
          <w:bCs/>
        </w:rPr>
        <w:t>深度思考模式（</w:t>
      </w:r>
      <w:r w:rsidRPr="00CB13BE">
        <w:rPr>
          <w:b/>
          <w:bCs/>
        </w:rPr>
        <w:t>Gemini 3.1 Pro</w:t>
      </w:r>
      <w:r w:rsidRPr="00CB13BE">
        <w:rPr>
          <w:b/>
          <w:bCs/>
        </w:rPr>
        <w:t>）表现</w:t>
      </w:r>
      <w:r>
        <w:rPr>
          <w:rFonts w:hint="eastAsia"/>
        </w:rPr>
        <w:t>：</w:t>
      </w:r>
      <w:r w:rsidR="00B855E4">
        <w:t>该题下</w:t>
      </w:r>
      <w:r w:rsidR="00B855E4">
        <w:t xml:space="preserve"> Gemini 3.1 Pro </w:t>
      </w:r>
      <w:r w:rsidR="00B855E4">
        <w:t>的输出长度约为</w:t>
      </w:r>
      <w:r w:rsidR="00B855E4">
        <w:t xml:space="preserve"> 2756 </w:t>
      </w:r>
      <w:r w:rsidR="00B855E4">
        <w:t>字符，几乎是普通模式对应输出的</w:t>
      </w:r>
      <w:r w:rsidR="00B855E4">
        <w:t xml:space="preserve"> 1.64 </w:t>
      </w:r>
      <w:r w:rsidR="00B855E4">
        <w:t>倍，是本组三道题中思考模式相对普通模式篇幅膨胀幅度最大的一次，这与</w:t>
      </w:r>
      <w:r w:rsidR="00B855E4">
        <w:t xml:space="preserve"> DeepSeek </w:t>
      </w:r>
      <w:r w:rsidR="00B855E4">
        <w:t>组</w:t>
      </w:r>
      <w:r w:rsidR="00B855E4">
        <w:t xml:space="preserve">T3 </w:t>
      </w:r>
      <w:r w:rsidR="00B855E4">
        <w:t>研究设计类任务思考模式相对普通模式的时间</w:t>
      </w:r>
      <w:r w:rsidR="00B855E4">
        <w:t>/</w:t>
      </w:r>
      <w:r w:rsidR="00B855E4">
        <w:t>长度开销比也最高（</w:t>
      </w:r>
      <w:r w:rsidR="00B855E4">
        <w:t xml:space="preserve">2.04 </w:t>
      </w:r>
      <w:r w:rsidR="00B855E4">
        <w:t>倍）的发现相互呼应，提示两个模型都在研究设计类任务上从深度思考中获益最多。内容上，评估指标体系被分为两层</w:t>
      </w:r>
      <w:r w:rsidR="00B855E4">
        <w:t>——</w:t>
      </w:r>
      <w:r w:rsidR="00B855E4">
        <w:t>基础分类指标（</w:t>
      </w:r>
      <w:r w:rsidR="00B855E4">
        <w:t>Macro-F1</w:t>
      </w:r>
      <w:r w:rsidR="00B855E4">
        <w:t>、精确率</w:t>
      </w:r>
      <w:r w:rsidR="00B855E4">
        <w:t>/</w:t>
      </w:r>
      <w:r w:rsidR="00B855E4">
        <w:t>召回率）与专门针对大模型作为检测器这一特殊场景设计的大模型行为特有指标（拒答与格式错误率</w:t>
      </w:r>
      <w:r w:rsidR="00B855E4">
        <w:t xml:space="preserve"> AMR</w:t>
      </w:r>
      <w:r w:rsidR="00B855E4">
        <w:t>、预期校准误差</w:t>
      </w:r>
      <w:r w:rsidR="00B855E4">
        <w:t xml:space="preserve"> ECE</w:t>
      </w:r>
      <w:r w:rsidR="00B855E4">
        <w:t>、基于</w:t>
      </w:r>
      <w:r w:rsidR="00B855E4">
        <w:t xml:space="preserve"> Cohen's Kappa </w:t>
      </w:r>
      <w:r w:rsidR="00B855E4">
        <w:t>的提示词敏感度</w:t>
      </w:r>
      <w:r w:rsidR="00B855E4">
        <w:t>/</w:t>
      </w:r>
      <w:r w:rsidR="00B855E4">
        <w:t>一致性），后者是普通模式完全未触及的、更具问题针对性的评估维度；基线模型逻辑构建了消融</w:t>
      </w:r>
      <w:r w:rsidR="00B855E4">
        <w:t>+</w:t>
      </w:r>
      <w:r w:rsidR="00B855E4">
        <w:t>对照的三类矩阵（全监督专用多模态模型、纯文本大模型控制组、同梯队跨大模型比较），并明确点名了</w:t>
      </w:r>
      <w:r w:rsidR="00B855E4">
        <w:t xml:space="preserve"> SAFE</w:t>
      </w:r>
      <w:r w:rsidR="00B855E4">
        <w:t>（标注为</w:t>
      </w:r>
      <w:r w:rsidR="00B855E4">
        <w:t xml:space="preserve"> Zhou et al., 2020</w:t>
      </w:r>
      <w:r w:rsidR="00B855E4">
        <w:t>）、</w:t>
      </w:r>
      <w:r w:rsidR="00B855E4">
        <w:t>CAFE</w:t>
      </w:r>
      <w:r w:rsidR="00B855E4">
        <w:t>（标注为</w:t>
      </w:r>
      <w:r w:rsidR="00B855E4">
        <w:t xml:space="preserve"> Chen et al., 2022</w:t>
      </w:r>
      <w:r w:rsidR="00B855E4">
        <w:t>）作为全监督基线代表，以及</w:t>
      </w:r>
      <w:r w:rsidR="00B855E4">
        <w:t xml:space="preserve"> Qwen2-VL/InternVL2</w:t>
      </w:r>
      <w:r w:rsidR="00B855E4">
        <w:t>、</w:t>
      </w:r>
      <w:r w:rsidR="00B855E4">
        <w:lastRenderedPageBreak/>
        <w:t xml:space="preserve">GPT-4o/Claude 3.5 </w:t>
      </w:r>
      <w:r w:rsidR="00B855E4">
        <w:t>作为跨模型比较对象；假阳性样本设计了隐喻性</w:t>
      </w:r>
      <w:r w:rsidR="00B855E4">
        <w:t>/</w:t>
      </w:r>
      <w:r w:rsidR="00B855E4">
        <w:t>修辞性图文不一致（存钱罐被砸配以通胀新闻）与逆常识</w:t>
      </w:r>
      <w:r w:rsidR="00B855E4">
        <w:t>/</w:t>
      </w:r>
      <w:r w:rsidR="00B855E4">
        <w:t>极低先验概率的突发真实新闻（洪都拉斯鱼雨）两个案例，并对每个案例的误判机制给出了更长、更具认知科学色彩的解释。</w:t>
      </w:r>
    </w:p>
    <w:p w14:paraId="792F3EAD" w14:textId="4FE2204B" w:rsidR="005D2875" w:rsidRDefault="00CB13BE">
      <w:pPr>
        <w:spacing w:after="160" w:line="300" w:lineRule="auto"/>
        <w:ind w:firstLine="480"/>
      </w:pPr>
      <w:r w:rsidRPr="00CB13BE">
        <w:rPr>
          <w:rFonts w:hint="eastAsia"/>
          <w:b/>
          <w:bCs/>
        </w:rPr>
        <w:t>检验结果：</w:t>
      </w:r>
      <w:r w:rsidR="00B855E4">
        <w:t>经核实，</w:t>
      </w:r>
      <w:r w:rsidR="00B855E4">
        <w:t>SAFE</w:t>
      </w:r>
      <w:r w:rsidR="00B855E4">
        <w:t>（</w:t>
      </w:r>
      <w:r w:rsidR="00B855E4">
        <w:t>Zhou et al., 2020</w:t>
      </w:r>
      <w:r w:rsidR="00B855E4">
        <w:t>）与</w:t>
      </w:r>
      <w:r w:rsidR="00B855E4">
        <w:t xml:space="preserve"> CAFE</w:t>
      </w:r>
      <w:r w:rsidR="00B855E4">
        <w:t>（</w:t>
      </w:r>
      <w:r w:rsidR="00B855E4">
        <w:t>Chen et al., 2022</w:t>
      </w:r>
      <w:r w:rsidR="00B855E4">
        <w:t>）均为真实文献，且此处给出的作者与年份信息与检索结果一致</w:t>
      </w:r>
      <w:r w:rsidR="0083082A">
        <w:rPr>
          <w:rFonts w:hint="eastAsia"/>
        </w:rPr>
        <w:t>。</w:t>
      </w:r>
      <w:r w:rsidR="00B855E4">
        <w:t>值得注意的是，本题引用</w:t>
      </w:r>
      <w:r w:rsidR="00B855E4">
        <w:t xml:space="preserve"> CAFE </w:t>
      </w:r>
      <w:r w:rsidR="00B855E4">
        <w:t>时并未附带会议名称，因而没有重复出现</w:t>
      </w:r>
      <w:r w:rsidR="00B855E4">
        <w:t xml:space="preserve"> T1 </w:t>
      </w:r>
      <w:r w:rsidR="00B855E4">
        <w:t>中</w:t>
      </w:r>
      <w:r w:rsidR="00B855E4">
        <w:t>CVPR 2022</w:t>
      </w:r>
      <w:r w:rsidR="00B855E4">
        <w:t>式的</w:t>
      </w:r>
      <w:r w:rsidR="00B855E4">
        <w:t xml:space="preserve"> venue </w:t>
      </w:r>
      <w:r w:rsidR="00B855E4">
        <w:t>错误。这一细节本身也说明，同一模型在同一整体回答的不同任务片段中，对同一篇论文的引用完整度与准确度并不总是一致的，即幻觉或细节缺失更像是随具体表述临时生成而具有片段依赖性，而非模型对某篇文献存在一套稳定统一的记忆表征。</w:t>
      </w:r>
    </w:p>
    <w:p w14:paraId="2484626B" w14:textId="3CCBEAF1" w:rsidR="005D2875" w:rsidRDefault="00B855E4">
      <w:pPr>
        <w:spacing w:after="160" w:line="300" w:lineRule="auto"/>
        <w:ind w:firstLine="480"/>
      </w:pPr>
      <w:r>
        <w:t>小结（</w:t>
      </w:r>
      <w:r>
        <w:t>T3</w:t>
      </w:r>
      <w:r>
        <w:t>）：本题上深度思考模式的增益最为显著</w:t>
      </w:r>
      <w:r w:rsidR="0083082A">
        <w:rPr>
          <w:rFonts w:hint="eastAsia"/>
        </w:rPr>
        <w:t>。</w:t>
      </w:r>
      <w:r>
        <w:t>不仅信息密度与结构层次远超普通模式，还专门设计了普通模式未曾涉及的大模型行为特有评估指标，体现出对评估</w:t>
      </w:r>
      <w:r>
        <w:t xml:space="preserve"> LLM </w:t>
      </w:r>
      <w:r>
        <w:t>作为检测器这一元问题更深层的理解</w:t>
      </w:r>
      <w:r w:rsidR="0083082A">
        <w:rPr>
          <w:rFonts w:hint="eastAsia"/>
        </w:rPr>
        <w:t>。</w:t>
      </w:r>
      <w:r>
        <w:t>但本题</w:t>
      </w:r>
      <w:r w:rsidR="0083082A">
        <w:rPr>
          <w:rFonts w:hint="eastAsia"/>
        </w:rPr>
        <w:t>对文献的</w:t>
      </w:r>
      <w:r>
        <w:t>引用密度与篇幅膨胀均达到组内峰值，需要人工核实的信息总量也随之显著增加。</w:t>
      </w:r>
    </w:p>
    <w:p w14:paraId="05C0682F" w14:textId="77777777" w:rsidR="005D2875" w:rsidRDefault="00B855E4">
      <w:pPr>
        <w:pStyle w:val="2"/>
      </w:pPr>
      <w:r>
        <w:t>3.3 结果分析</w:t>
      </w:r>
    </w:p>
    <w:p w14:paraId="41698739" w14:textId="193618D5" w:rsidR="005D2875" w:rsidRDefault="00B855E4">
      <w:pPr>
        <w:spacing w:after="160" w:line="300" w:lineRule="auto"/>
        <w:ind w:firstLine="480"/>
      </w:pPr>
      <w:r>
        <w:t>汇总三道任务的代理指标可以得到如下量化对比。需要再次说明，由于两模型并非同一模型的模式开关而是两个独立模型，以下数值反映的是深度思考旗舰版与非思考轻量版之间的综合差异，而非纯粹的思考模式效应。</w:t>
      </w:r>
    </w:p>
    <w:tbl>
      <w:tblPr>
        <w:tblW w:w="9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2399"/>
        <w:gridCol w:w="2565"/>
        <w:gridCol w:w="1653"/>
      </w:tblGrid>
      <w:tr w:rsidR="005D2875" w14:paraId="374B6BB3" w14:textId="77777777" w:rsidTr="005253F0">
        <w:trPr>
          <w:trHeight w:val="607"/>
          <w:tblHeader/>
        </w:trPr>
        <w:tc>
          <w:tcPr>
            <w:tcW w:w="2481" w:type="dxa"/>
            <w:shd w:val="clear" w:color="auto" w:fill="000000" w:themeFill="text1"/>
            <w:tcMar>
              <w:top w:w="60" w:type="dxa"/>
              <w:left w:w="100" w:type="dxa"/>
              <w:bottom w:w="60" w:type="dxa"/>
              <w:right w:w="100" w:type="dxa"/>
            </w:tcMar>
            <w:vAlign w:val="center"/>
          </w:tcPr>
          <w:p w14:paraId="08757FBC" w14:textId="77777777" w:rsidR="005D2875" w:rsidRDefault="00B855E4" w:rsidP="0083082A">
            <w:pPr>
              <w:spacing w:before="40" w:after="40"/>
              <w:jc w:val="center"/>
            </w:pPr>
            <w:r>
              <w:rPr>
                <w:b/>
                <w:bCs/>
                <w:color w:val="FFFFFF"/>
                <w:sz w:val="20"/>
                <w:szCs w:val="20"/>
              </w:rPr>
              <w:t>指标</w:t>
            </w:r>
          </w:p>
        </w:tc>
        <w:tc>
          <w:tcPr>
            <w:tcW w:w="2399" w:type="dxa"/>
            <w:shd w:val="clear" w:color="auto" w:fill="000000" w:themeFill="text1"/>
            <w:tcMar>
              <w:top w:w="60" w:type="dxa"/>
              <w:left w:w="100" w:type="dxa"/>
              <w:bottom w:w="60" w:type="dxa"/>
              <w:right w:w="100" w:type="dxa"/>
            </w:tcMar>
            <w:vAlign w:val="center"/>
          </w:tcPr>
          <w:p w14:paraId="1EB20399" w14:textId="1E089B2C" w:rsidR="005D2875" w:rsidRDefault="00B855E4" w:rsidP="0083082A">
            <w:pPr>
              <w:spacing w:before="40" w:after="40"/>
              <w:jc w:val="center"/>
            </w:pPr>
            <w:r>
              <w:rPr>
                <w:b/>
                <w:bCs/>
                <w:color w:val="FFFFFF"/>
                <w:sz w:val="20"/>
                <w:szCs w:val="20"/>
              </w:rPr>
              <w:t>3.5 Flash</w:t>
            </w:r>
            <w:r>
              <w:rPr>
                <w:b/>
                <w:bCs/>
                <w:color w:val="FFFFFF"/>
                <w:sz w:val="20"/>
                <w:szCs w:val="20"/>
              </w:rPr>
              <w:t>（普通模式）</w:t>
            </w:r>
          </w:p>
        </w:tc>
        <w:tc>
          <w:tcPr>
            <w:tcW w:w="2565" w:type="dxa"/>
            <w:shd w:val="clear" w:color="auto" w:fill="000000" w:themeFill="text1"/>
            <w:tcMar>
              <w:top w:w="60" w:type="dxa"/>
              <w:left w:w="100" w:type="dxa"/>
              <w:bottom w:w="60" w:type="dxa"/>
              <w:right w:w="100" w:type="dxa"/>
            </w:tcMar>
            <w:vAlign w:val="center"/>
          </w:tcPr>
          <w:p w14:paraId="2E40D62E" w14:textId="7EB5C30C" w:rsidR="005D2875" w:rsidRDefault="00B855E4" w:rsidP="0083082A">
            <w:pPr>
              <w:spacing w:before="40" w:after="40"/>
              <w:jc w:val="center"/>
            </w:pPr>
            <w:r>
              <w:rPr>
                <w:b/>
                <w:bCs/>
                <w:color w:val="FFFFFF"/>
                <w:sz w:val="20"/>
                <w:szCs w:val="20"/>
              </w:rPr>
              <w:t>3.1 Pro</w:t>
            </w:r>
            <w:r>
              <w:rPr>
                <w:b/>
                <w:bCs/>
                <w:color w:val="FFFFFF"/>
                <w:sz w:val="20"/>
                <w:szCs w:val="20"/>
              </w:rPr>
              <w:t>（深度思考模式）</w:t>
            </w:r>
          </w:p>
        </w:tc>
        <w:tc>
          <w:tcPr>
            <w:tcW w:w="1653" w:type="dxa"/>
            <w:shd w:val="clear" w:color="auto" w:fill="000000" w:themeFill="text1"/>
            <w:tcMar>
              <w:top w:w="60" w:type="dxa"/>
              <w:left w:w="100" w:type="dxa"/>
              <w:bottom w:w="60" w:type="dxa"/>
              <w:right w:w="100" w:type="dxa"/>
            </w:tcMar>
            <w:vAlign w:val="center"/>
          </w:tcPr>
          <w:p w14:paraId="08657523" w14:textId="77777777" w:rsidR="005D2875" w:rsidRDefault="00B855E4" w:rsidP="0083082A">
            <w:pPr>
              <w:spacing w:before="40" w:after="40"/>
              <w:jc w:val="center"/>
            </w:pPr>
            <w:r>
              <w:rPr>
                <w:b/>
                <w:bCs/>
                <w:color w:val="FFFFFF"/>
                <w:sz w:val="20"/>
                <w:szCs w:val="20"/>
              </w:rPr>
              <w:t>相对变化</w:t>
            </w:r>
          </w:p>
        </w:tc>
      </w:tr>
      <w:tr w:rsidR="005D2875" w14:paraId="6B2972B9" w14:textId="77777777" w:rsidTr="005253F0">
        <w:trPr>
          <w:trHeight w:val="348"/>
        </w:trPr>
        <w:tc>
          <w:tcPr>
            <w:tcW w:w="2481" w:type="dxa"/>
            <w:tcMar>
              <w:top w:w="60" w:type="dxa"/>
              <w:left w:w="100" w:type="dxa"/>
              <w:bottom w:w="60" w:type="dxa"/>
              <w:right w:w="100" w:type="dxa"/>
            </w:tcMar>
            <w:vAlign w:val="center"/>
          </w:tcPr>
          <w:p w14:paraId="636F7D67" w14:textId="77777777" w:rsidR="005D2875" w:rsidRDefault="00B855E4" w:rsidP="0083082A">
            <w:pPr>
              <w:spacing w:before="40" w:after="40"/>
              <w:jc w:val="center"/>
            </w:pPr>
            <w:r>
              <w:rPr>
                <w:color w:val="000000"/>
                <w:sz w:val="20"/>
                <w:szCs w:val="20"/>
              </w:rPr>
              <w:t>输出长度（字符，不含空白）</w:t>
            </w:r>
          </w:p>
        </w:tc>
        <w:tc>
          <w:tcPr>
            <w:tcW w:w="2399" w:type="dxa"/>
            <w:tcMar>
              <w:top w:w="60" w:type="dxa"/>
              <w:left w:w="100" w:type="dxa"/>
              <w:bottom w:w="60" w:type="dxa"/>
              <w:right w:w="100" w:type="dxa"/>
            </w:tcMar>
            <w:vAlign w:val="center"/>
          </w:tcPr>
          <w:p w14:paraId="472ACE48" w14:textId="77777777" w:rsidR="005D2875" w:rsidRDefault="00B855E4" w:rsidP="0083082A">
            <w:pPr>
              <w:spacing w:before="40" w:after="40"/>
              <w:jc w:val="center"/>
            </w:pPr>
            <w:r>
              <w:rPr>
                <w:color w:val="000000"/>
                <w:sz w:val="20"/>
                <w:szCs w:val="20"/>
              </w:rPr>
              <w:t>约</w:t>
            </w:r>
            <w:r>
              <w:rPr>
                <w:color w:val="000000"/>
                <w:sz w:val="20"/>
                <w:szCs w:val="20"/>
              </w:rPr>
              <w:t xml:space="preserve"> 1500</w:t>
            </w:r>
          </w:p>
        </w:tc>
        <w:tc>
          <w:tcPr>
            <w:tcW w:w="2565" w:type="dxa"/>
            <w:tcMar>
              <w:top w:w="60" w:type="dxa"/>
              <w:left w:w="100" w:type="dxa"/>
              <w:bottom w:w="60" w:type="dxa"/>
              <w:right w:w="100" w:type="dxa"/>
            </w:tcMar>
            <w:vAlign w:val="center"/>
          </w:tcPr>
          <w:p w14:paraId="50386F48" w14:textId="77777777" w:rsidR="005D2875" w:rsidRDefault="00B855E4" w:rsidP="0083082A">
            <w:pPr>
              <w:spacing w:before="40" w:after="40"/>
              <w:jc w:val="center"/>
            </w:pPr>
            <w:r>
              <w:rPr>
                <w:color w:val="000000"/>
                <w:sz w:val="20"/>
                <w:szCs w:val="20"/>
              </w:rPr>
              <w:t>约</w:t>
            </w:r>
            <w:r>
              <w:rPr>
                <w:color w:val="000000"/>
                <w:sz w:val="20"/>
                <w:szCs w:val="20"/>
              </w:rPr>
              <w:t xml:space="preserve"> 1941</w:t>
            </w:r>
          </w:p>
        </w:tc>
        <w:tc>
          <w:tcPr>
            <w:tcW w:w="1653" w:type="dxa"/>
            <w:tcMar>
              <w:top w:w="60" w:type="dxa"/>
              <w:left w:w="100" w:type="dxa"/>
              <w:bottom w:w="60" w:type="dxa"/>
              <w:right w:w="100" w:type="dxa"/>
            </w:tcMar>
            <w:vAlign w:val="center"/>
          </w:tcPr>
          <w:p w14:paraId="2011EFCE" w14:textId="77777777" w:rsidR="005D2875" w:rsidRDefault="00B855E4" w:rsidP="0083082A">
            <w:pPr>
              <w:spacing w:before="40" w:after="40"/>
              <w:jc w:val="center"/>
            </w:pPr>
            <w:r>
              <w:rPr>
                <w:color w:val="000000"/>
                <w:sz w:val="20"/>
                <w:szCs w:val="20"/>
              </w:rPr>
              <w:t>约</w:t>
            </w:r>
            <w:r>
              <w:rPr>
                <w:color w:val="000000"/>
                <w:sz w:val="20"/>
                <w:szCs w:val="20"/>
              </w:rPr>
              <w:t xml:space="preserve"> 1.29×</w:t>
            </w:r>
          </w:p>
        </w:tc>
      </w:tr>
      <w:tr w:rsidR="005D2875" w14:paraId="48429886" w14:textId="77777777" w:rsidTr="005253F0">
        <w:trPr>
          <w:trHeight w:val="607"/>
        </w:trPr>
        <w:tc>
          <w:tcPr>
            <w:tcW w:w="2481" w:type="dxa"/>
            <w:shd w:val="clear" w:color="auto" w:fill="FFFFFF" w:themeFill="background1"/>
            <w:tcMar>
              <w:top w:w="60" w:type="dxa"/>
              <w:left w:w="100" w:type="dxa"/>
              <w:bottom w:w="60" w:type="dxa"/>
              <w:right w:w="100" w:type="dxa"/>
            </w:tcMar>
            <w:vAlign w:val="center"/>
          </w:tcPr>
          <w:p w14:paraId="30230896" w14:textId="77777777" w:rsidR="005D2875" w:rsidRDefault="00B855E4" w:rsidP="0083082A">
            <w:pPr>
              <w:spacing w:before="40" w:after="40"/>
              <w:jc w:val="center"/>
            </w:pPr>
            <w:r>
              <w:rPr>
                <w:color w:val="000000"/>
                <w:sz w:val="20"/>
                <w:szCs w:val="20"/>
              </w:rPr>
              <w:t>具名引用密度（累计次数，</w:t>
            </w:r>
            <w:r>
              <w:rPr>
                <w:color w:val="000000"/>
                <w:sz w:val="20"/>
                <w:szCs w:val="20"/>
              </w:rPr>
              <w:t xml:space="preserve">T1–T3 </w:t>
            </w:r>
            <w:r>
              <w:rPr>
                <w:color w:val="000000"/>
                <w:sz w:val="20"/>
                <w:szCs w:val="20"/>
              </w:rPr>
              <w:t>合计）</w:t>
            </w:r>
          </w:p>
        </w:tc>
        <w:tc>
          <w:tcPr>
            <w:tcW w:w="2399" w:type="dxa"/>
            <w:shd w:val="clear" w:color="auto" w:fill="FFFFFF" w:themeFill="background1"/>
            <w:tcMar>
              <w:top w:w="60" w:type="dxa"/>
              <w:left w:w="100" w:type="dxa"/>
              <w:bottom w:w="60" w:type="dxa"/>
              <w:right w:w="100" w:type="dxa"/>
            </w:tcMar>
            <w:vAlign w:val="center"/>
          </w:tcPr>
          <w:p w14:paraId="4B0D3331" w14:textId="77777777" w:rsidR="005D2875" w:rsidRDefault="00B855E4" w:rsidP="0083082A">
            <w:pPr>
              <w:spacing w:before="40" w:after="40"/>
              <w:jc w:val="center"/>
            </w:pPr>
            <w:r>
              <w:rPr>
                <w:color w:val="000000"/>
                <w:sz w:val="20"/>
                <w:szCs w:val="20"/>
              </w:rPr>
              <w:t>0</w:t>
            </w:r>
          </w:p>
        </w:tc>
        <w:tc>
          <w:tcPr>
            <w:tcW w:w="2565" w:type="dxa"/>
            <w:shd w:val="clear" w:color="auto" w:fill="FFFFFF" w:themeFill="background1"/>
            <w:tcMar>
              <w:top w:w="60" w:type="dxa"/>
              <w:left w:w="100" w:type="dxa"/>
              <w:bottom w:w="60" w:type="dxa"/>
              <w:right w:w="100" w:type="dxa"/>
            </w:tcMar>
            <w:vAlign w:val="center"/>
          </w:tcPr>
          <w:p w14:paraId="5471AA54" w14:textId="77777777" w:rsidR="005D2875" w:rsidRDefault="00B855E4" w:rsidP="0083082A">
            <w:pPr>
              <w:spacing w:before="40" w:after="40"/>
              <w:jc w:val="center"/>
            </w:pPr>
            <w:r>
              <w:rPr>
                <w:color w:val="000000"/>
                <w:sz w:val="20"/>
                <w:szCs w:val="20"/>
              </w:rPr>
              <w:t>8</w:t>
            </w:r>
          </w:p>
        </w:tc>
        <w:tc>
          <w:tcPr>
            <w:tcW w:w="1653" w:type="dxa"/>
            <w:shd w:val="clear" w:color="auto" w:fill="FFFFFF" w:themeFill="background1"/>
            <w:tcMar>
              <w:top w:w="60" w:type="dxa"/>
              <w:left w:w="100" w:type="dxa"/>
              <w:bottom w:w="60" w:type="dxa"/>
              <w:right w:w="100" w:type="dxa"/>
            </w:tcMar>
            <w:vAlign w:val="center"/>
          </w:tcPr>
          <w:p w14:paraId="27A035F4" w14:textId="77777777" w:rsidR="005D2875" w:rsidRDefault="00B855E4" w:rsidP="0083082A">
            <w:pPr>
              <w:spacing w:before="40" w:after="40"/>
              <w:jc w:val="center"/>
            </w:pPr>
            <w:r>
              <w:rPr>
                <w:color w:val="000000"/>
                <w:sz w:val="20"/>
                <w:szCs w:val="20"/>
              </w:rPr>
              <w:t>由</w:t>
            </w:r>
            <w:r>
              <w:rPr>
                <w:color w:val="000000"/>
                <w:sz w:val="20"/>
                <w:szCs w:val="20"/>
              </w:rPr>
              <w:t xml:space="preserve"> 0 </w:t>
            </w:r>
            <w:r>
              <w:rPr>
                <w:color w:val="000000"/>
                <w:sz w:val="20"/>
                <w:szCs w:val="20"/>
              </w:rPr>
              <w:t>提升至有</w:t>
            </w:r>
          </w:p>
        </w:tc>
      </w:tr>
      <w:tr w:rsidR="005D2875" w14:paraId="748CEA8B" w14:textId="77777777" w:rsidTr="005253F0">
        <w:trPr>
          <w:trHeight w:val="348"/>
        </w:trPr>
        <w:tc>
          <w:tcPr>
            <w:tcW w:w="2481" w:type="dxa"/>
            <w:tcMar>
              <w:top w:w="60" w:type="dxa"/>
              <w:left w:w="100" w:type="dxa"/>
              <w:bottom w:w="60" w:type="dxa"/>
              <w:right w:w="100" w:type="dxa"/>
            </w:tcMar>
            <w:vAlign w:val="center"/>
          </w:tcPr>
          <w:p w14:paraId="3DE22013" w14:textId="77777777" w:rsidR="005D2875" w:rsidRDefault="00B855E4" w:rsidP="0083082A">
            <w:pPr>
              <w:spacing w:before="40" w:after="40"/>
              <w:jc w:val="center"/>
            </w:pPr>
            <w:r>
              <w:rPr>
                <w:color w:val="000000"/>
                <w:sz w:val="20"/>
                <w:szCs w:val="20"/>
              </w:rPr>
              <w:t>不确定性标注次数（累计）</w:t>
            </w:r>
          </w:p>
        </w:tc>
        <w:tc>
          <w:tcPr>
            <w:tcW w:w="2399" w:type="dxa"/>
            <w:tcMar>
              <w:top w:w="60" w:type="dxa"/>
              <w:left w:w="100" w:type="dxa"/>
              <w:bottom w:w="60" w:type="dxa"/>
              <w:right w:w="100" w:type="dxa"/>
            </w:tcMar>
            <w:vAlign w:val="center"/>
          </w:tcPr>
          <w:p w14:paraId="26F5591D" w14:textId="77777777" w:rsidR="005D2875" w:rsidRDefault="00B855E4" w:rsidP="0083082A">
            <w:pPr>
              <w:spacing w:before="40" w:after="40"/>
              <w:jc w:val="center"/>
            </w:pPr>
            <w:r>
              <w:rPr>
                <w:color w:val="000000"/>
                <w:sz w:val="20"/>
                <w:szCs w:val="20"/>
              </w:rPr>
              <w:t>1</w:t>
            </w:r>
          </w:p>
        </w:tc>
        <w:tc>
          <w:tcPr>
            <w:tcW w:w="2565" w:type="dxa"/>
            <w:tcMar>
              <w:top w:w="60" w:type="dxa"/>
              <w:left w:w="100" w:type="dxa"/>
              <w:bottom w:w="60" w:type="dxa"/>
              <w:right w:w="100" w:type="dxa"/>
            </w:tcMar>
            <w:vAlign w:val="center"/>
          </w:tcPr>
          <w:p w14:paraId="2D6869B4" w14:textId="77777777" w:rsidR="005D2875" w:rsidRDefault="00B855E4" w:rsidP="0083082A">
            <w:pPr>
              <w:spacing w:before="40" w:after="40"/>
              <w:jc w:val="center"/>
            </w:pPr>
            <w:r>
              <w:rPr>
                <w:color w:val="000000"/>
                <w:sz w:val="20"/>
                <w:szCs w:val="20"/>
              </w:rPr>
              <w:t>2</w:t>
            </w:r>
          </w:p>
        </w:tc>
        <w:tc>
          <w:tcPr>
            <w:tcW w:w="1653" w:type="dxa"/>
            <w:tcMar>
              <w:top w:w="60" w:type="dxa"/>
              <w:left w:w="100" w:type="dxa"/>
              <w:bottom w:w="60" w:type="dxa"/>
              <w:right w:w="100" w:type="dxa"/>
            </w:tcMar>
            <w:vAlign w:val="center"/>
          </w:tcPr>
          <w:p w14:paraId="19ABF2C3" w14:textId="77777777" w:rsidR="005D2875" w:rsidRDefault="00B855E4" w:rsidP="0083082A">
            <w:pPr>
              <w:spacing w:before="40" w:after="40"/>
              <w:jc w:val="center"/>
            </w:pPr>
            <w:r>
              <w:rPr>
                <w:color w:val="000000"/>
                <w:sz w:val="20"/>
                <w:szCs w:val="20"/>
              </w:rPr>
              <w:t>均较稀疏</w:t>
            </w:r>
          </w:p>
        </w:tc>
      </w:tr>
      <w:tr w:rsidR="005D2875" w14:paraId="490A6ABB" w14:textId="77777777" w:rsidTr="005253F0">
        <w:trPr>
          <w:trHeight w:val="607"/>
        </w:trPr>
        <w:tc>
          <w:tcPr>
            <w:tcW w:w="2481" w:type="dxa"/>
            <w:shd w:val="clear" w:color="auto" w:fill="FFFFFF" w:themeFill="background1"/>
            <w:tcMar>
              <w:top w:w="60" w:type="dxa"/>
              <w:left w:w="100" w:type="dxa"/>
              <w:bottom w:w="60" w:type="dxa"/>
              <w:right w:w="100" w:type="dxa"/>
            </w:tcMar>
            <w:vAlign w:val="center"/>
          </w:tcPr>
          <w:p w14:paraId="5D0ED02E" w14:textId="3F3B47E2" w:rsidR="005D2875" w:rsidRDefault="00B855E4" w:rsidP="0083082A">
            <w:pPr>
              <w:spacing w:before="40" w:after="40"/>
              <w:jc w:val="center"/>
            </w:pPr>
            <w:r>
              <w:rPr>
                <w:color w:val="000000"/>
                <w:sz w:val="20"/>
                <w:szCs w:val="20"/>
              </w:rPr>
              <w:t>经核验基本准确的引用数</w:t>
            </w:r>
          </w:p>
        </w:tc>
        <w:tc>
          <w:tcPr>
            <w:tcW w:w="2399" w:type="dxa"/>
            <w:shd w:val="clear" w:color="auto" w:fill="FFFFFF" w:themeFill="background1"/>
            <w:tcMar>
              <w:top w:w="60" w:type="dxa"/>
              <w:left w:w="100" w:type="dxa"/>
              <w:bottom w:w="60" w:type="dxa"/>
              <w:right w:w="100" w:type="dxa"/>
            </w:tcMar>
            <w:vAlign w:val="center"/>
          </w:tcPr>
          <w:p w14:paraId="1C554DF4" w14:textId="77777777" w:rsidR="005D2875" w:rsidRDefault="00B855E4" w:rsidP="0083082A">
            <w:pPr>
              <w:spacing w:before="40" w:after="40"/>
              <w:jc w:val="center"/>
            </w:pPr>
            <w:r>
              <w:rPr>
                <w:color w:val="000000"/>
                <w:sz w:val="20"/>
                <w:szCs w:val="20"/>
              </w:rPr>
              <w:t>—</w:t>
            </w:r>
            <w:r>
              <w:rPr>
                <w:color w:val="000000"/>
                <w:sz w:val="20"/>
                <w:szCs w:val="20"/>
              </w:rPr>
              <w:t>（无引用可核）</w:t>
            </w:r>
          </w:p>
        </w:tc>
        <w:tc>
          <w:tcPr>
            <w:tcW w:w="2565" w:type="dxa"/>
            <w:shd w:val="clear" w:color="auto" w:fill="FFFFFF" w:themeFill="background1"/>
            <w:tcMar>
              <w:top w:w="60" w:type="dxa"/>
              <w:left w:w="100" w:type="dxa"/>
              <w:bottom w:w="60" w:type="dxa"/>
              <w:right w:w="100" w:type="dxa"/>
            </w:tcMar>
            <w:vAlign w:val="center"/>
          </w:tcPr>
          <w:p w14:paraId="0F9C49EF" w14:textId="77777777" w:rsidR="005D2875" w:rsidRDefault="00B855E4" w:rsidP="0083082A">
            <w:pPr>
              <w:spacing w:before="40" w:after="40"/>
              <w:jc w:val="center"/>
            </w:pPr>
            <w:r>
              <w:rPr>
                <w:color w:val="000000"/>
                <w:sz w:val="20"/>
                <w:szCs w:val="20"/>
              </w:rPr>
              <w:t>5 / 8</w:t>
            </w:r>
            <w:r>
              <w:rPr>
                <w:color w:val="000000"/>
                <w:sz w:val="20"/>
                <w:szCs w:val="20"/>
              </w:rPr>
              <w:t>（另</w:t>
            </w:r>
            <w:r>
              <w:rPr>
                <w:color w:val="000000"/>
                <w:sz w:val="20"/>
                <w:szCs w:val="20"/>
              </w:rPr>
              <w:t xml:space="preserve"> 2 </w:t>
            </w:r>
            <w:r>
              <w:rPr>
                <w:color w:val="000000"/>
                <w:sz w:val="20"/>
                <w:szCs w:val="20"/>
              </w:rPr>
              <w:t>处存在</w:t>
            </w:r>
            <w:r>
              <w:rPr>
                <w:color w:val="000000"/>
                <w:sz w:val="20"/>
                <w:szCs w:val="20"/>
              </w:rPr>
              <w:t>venue/</w:t>
            </w:r>
            <w:r>
              <w:rPr>
                <w:color w:val="000000"/>
                <w:sz w:val="20"/>
                <w:szCs w:val="20"/>
              </w:rPr>
              <w:t>年份错误，</w:t>
            </w:r>
            <w:r>
              <w:rPr>
                <w:color w:val="000000"/>
                <w:sz w:val="20"/>
                <w:szCs w:val="20"/>
              </w:rPr>
              <w:t xml:space="preserve">1 </w:t>
            </w:r>
            <w:r>
              <w:rPr>
                <w:color w:val="000000"/>
                <w:sz w:val="20"/>
                <w:szCs w:val="20"/>
              </w:rPr>
              <w:t>处存疑无法定位）</w:t>
            </w:r>
          </w:p>
        </w:tc>
        <w:tc>
          <w:tcPr>
            <w:tcW w:w="1653" w:type="dxa"/>
            <w:shd w:val="clear" w:color="auto" w:fill="FFFFFF" w:themeFill="background1"/>
            <w:tcMar>
              <w:top w:w="60" w:type="dxa"/>
              <w:left w:w="100" w:type="dxa"/>
              <w:bottom w:w="60" w:type="dxa"/>
              <w:right w:w="100" w:type="dxa"/>
            </w:tcMar>
            <w:vAlign w:val="center"/>
          </w:tcPr>
          <w:p w14:paraId="79CD0374" w14:textId="77777777" w:rsidR="005D2875" w:rsidRDefault="00B855E4" w:rsidP="0083082A">
            <w:pPr>
              <w:spacing w:before="40" w:after="40"/>
              <w:jc w:val="center"/>
            </w:pPr>
            <w:r>
              <w:rPr>
                <w:color w:val="000000"/>
                <w:sz w:val="20"/>
                <w:szCs w:val="20"/>
              </w:rPr>
              <w:t>约</w:t>
            </w:r>
            <w:r>
              <w:rPr>
                <w:color w:val="000000"/>
                <w:sz w:val="20"/>
                <w:szCs w:val="20"/>
              </w:rPr>
              <w:t xml:space="preserve"> 62.5% </w:t>
            </w:r>
            <w:r>
              <w:rPr>
                <w:color w:val="000000"/>
                <w:sz w:val="20"/>
                <w:szCs w:val="20"/>
              </w:rPr>
              <w:t>准确</w:t>
            </w:r>
          </w:p>
        </w:tc>
      </w:tr>
    </w:tbl>
    <w:p w14:paraId="2FAD6FDC" w14:textId="4A4D029F" w:rsidR="005D2875" w:rsidRDefault="00B855E4">
      <w:pPr>
        <w:spacing w:before="80" w:after="200"/>
        <w:jc w:val="left"/>
      </w:pPr>
      <w:r>
        <w:rPr>
          <w:i/>
          <w:iCs/>
          <w:color w:val="595959"/>
          <w:sz w:val="20"/>
          <w:szCs w:val="20"/>
        </w:rPr>
        <w:t>数据来源：对</w:t>
      </w:r>
      <w:r>
        <w:rPr>
          <w:i/>
          <w:iCs/>
          <w:color w:val="595959"/>
          <w:sz w:val="20"/>
          <w:szCs w:val="20"/>
        </w:rPr>
        <w:t xml:space="preserve"> gemin</w:t>
      </w:r>
      <w:r w:rsidR="0083082A">
        <w:rPr>
          <w:i/>
          <w:iCs/>
          <w:color w:val="595959"/>
          <w:sz w:val="20"/>
          <w:szCs w:val="20"/>
        </w:rPr>
        <w:t>i</w:t>
      </w:r>
      <w:r>
        <w:rPr>
          <w:i/>
          <w:iCs/>
          <w:color w:val="595959"/>
          <w:sz w:val="20"/>
          <w:szCs w:val="20"/>
        </w:rPr>
        <w:t>中三道任务回答的人工分段统计与网络检索核验。</w:t>
      </w:r>
    </w:p>
    <w:p w14:paraId="2BA9224A" w14:textId="00D5B18F" w:rsidR="005D2875" w:rsidRDefault="00B855E4">
      <w:pPr>
        <w:spacing w:after="160" w:line="300" w:lineRule="auto"/>
        <w:ind w:firstLine="480"/>
      </w:pPr>
      <w:r>
        <w:t>与</w:t>
      </w:r>
      <w:r>
        <w:t xml:space="preserve"> DeepSeek </w:t>
      </w:r>
      <w:r>
        <w:t>组深度思考模式输出</w:t>
      </w:r>
      <w:r>
        <w:t xml:space="preserve"> token </w:t>
      </w:r>
      <w:r>
        <w:t>数约为普通模式</w:t>
      </w:r>
      <w:r>
        <w:t xml:space="preserve"> 1.96 </w:t>
      </w:r>
      <w:r>
        <w:t>倍的显著膨胀相比，</w:t>
      </w:r>
      <w:r>
        <w:t xml:space="preserve">Gemini </w:t>
      </w:r>
      <w:r>
        <w:t>组两种模式间的输出长度差异相对温和（约</w:t>
      </w:r>
      <w:r>
        <w:t xml:space="preserve"> 1.29 </w:t>
      </w:r>
      <w:r>
        <w:t>倍），且在</w:t>
      </w:r>
      <w:r>
        <w:t xml:space="preserve"> T1 </w:t>
      </w:r>
      <w:r>
        <w:t>题目上深度思考模式的输出甚至略短于普通模式。这提示思考模式对输出篇幅的影响幅度可能因模型架构、任务类型或产品定位而存在较大差异，</w:t>
      </w:r>
      <w:r w:rsidRPr="0083082A">
        <w:rPr>
          <w:b/>
          <w:bCs/>
          <w:color w:val="C00000"/>
        </w:rPr>
        <w:t>不宜简单类推为思考模式必然带来成倍的输出增长这一普遍规律</w:t>
      </w:r>
      <w:r>
        <w:t>。真正在两组实验中都稳定、可复现的规律，是</w:t>
      </w:r>
      <w:r w:rsidRPr="0083082A">
        <w:rPr>
          <w:b/>
          <w:bCs/>
          <w:color w:val="C00000"/>
        </w:rPr>
        <w:t>深度思考模式在具名引用密度与技术细节颗粒度（公式、符号推导、多层次评估指标体系）上的显著提升</w:t>
      </w:r>
      <w:r w:rsidR="0083082A">
        <w:rPr>
          <w:rFonts w:hint="eastAsia"/>
        </w:rPr>
        <w:t>，</w:t>
      </w:r>
      <w:r>
        <w:t>这一点在</w:t>
      </w:r>
      <w:r>
        <w:t xml:space="preserve"> DeepSeek </w:t>
      </w:r>
      <w:r>
        <w:t>组与</w:t>
      </w:r>
      <w:r>
        <w:t xml:space="preserve"> Gemini </w:t>
      </w:r>
      <w:r>
        <w:t>组中均得到了验证，也是本报告认为最值得信赖的跨模型共性发现。</w:t>
      </w:r>
    </w:p>
    <w:p w14:paraId="129542C8" w14:textId="77777777" w:rsidR="005D2875" w:rsidRDefault="00B855E4">
      <w:pPr>
        <w:pStyle w:val="2"/>
      </w:pPr>
      <w:r>
        <w:lastRenderedPageBreak/>
        <w:t>3.4 幻觉现象的观察与核验</w:t>
      </w:r>
    </w:p>
    <w:p w14:paraId="032FBA97" w14:textId="77777777" w:rsidR="005D2875" w:rsidRDefault="00B855E4">
      <w:pPr>
        <w:spacing w:after="160" w:line="300" w:lineRule="auto"/>
        <w:ind w:firstLine="480"/>
      </w:pPr>
      <w:r>
        <w:t>为使幻觉现象的讨论建立在可验证的事实基础上，本报告对</w:t>
      </w:r>
      <w:r>
        <w:t xml:space="preserve"> Gemini 3.1 Pro</w:t>
      </w:r>
      <w:r>
        <w:t>（深度思考模式）在三道任务中给出的全部</w:t>
      </w:r>
      <w:r>
        <w:t xml:space="preserve"> 8 </w:t>
      </w:r>
      <w:r>
        <w:t>处具名引用逐条进行了网络检索核验，核验结果汇总如下表。</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1524"/>
        <w:gridCol w:w="2690"/>
        <w:gridCol w:w="1524"/>
        <w:gridCol w:w="2421"/>
      </w:tblGrid>
      <w:tr w:rsidR="005D2875" w14:paraId="4FC4F9FC" w14:textId="77777777" w:rsidTr="005253F0">
        <w:trPr>
          <w:trHeight w:val="349"/>
          <w:tblHeader/>
        </w:trPr>
        <w:tc>
          <w:tcPr>
            <w:tcW w:w="807" w:type="dxa"/>
            <w:shd w:val="clear" w:color="auto" w:fill="000000" w:themeFill="text1"/>
            <w:tcMar>
              <w:top w:w="60" w:type="dxa"/>
              <w:left w:w="100" w:type="dxa"/>
              <w:bottom w:w="60" w:type="dxa"/>
              <w:right w:w="100" w:type="dxa"/>
            </w:tcMar>
            <w:vAlign w:val="center"/>
          </w:tcPr>
          <w:p w14:paraId="5915F4B7" w14:textId="77777777" w:rsidR="005D2875" w:rsidRDefault="00B855E4" w:rsidP="0083082A">
            <w:pPr>
              <w:spacing w:before="40" w:after="40"/>
              <w:jc w:val="center"/>
            </w:pPr>
            <w:r>
              <w:rPr>
                <w:b/>
                <w:bCs/>
                <w:color w:val="FFFFFF"/>
                <w:sz w:val="20"/>
                <w:szCs w:val="20"/>
              </w:rPr>
              <w:t>任务</w:t>
            </w:r>
          </w:p>
        </w:tc>
        <w:tc>
          <w:tcPr>
            <w:tcW w:w="1524" w:type="dxa"/>
            <w:shd w:val="clear" w:color="auto" w:fill="000000" w:themeFill="text1"/>
            <w:tcMar>
              <w:top w:w="60" w:type="dxa"/>
              <w:left w:w="100" w:type="dxa"/>
              <w:bottom w:w="60" w:type="dxa"/>
              <w:right w:w="100" w:type="dxa"/>
            </w:tcMar>
            <w:vAlign w:val="center"/>
          </w:tcPr>
          <w:p w14:paraId="3A5A03B9" w14:textId="77777777" w:rsidR="005D2875" w:rsidRDefault="00B855E4" w:rsidP="0083082A">
            <w:pPr>
              <w:spacing w:before="40" w:after="40"/>
              <w:jc w:val="center"/>
            </w:pPr>
            <w:r>
              <w:rPr>
                <w:b/>
                <w:bCs/>
                <w:color w:val="FFFFFF"/>
                <w:sz w:val="20"/>
                <w:szCs w:val="20"/>
              </w:rPr>
              <w:t>引用名称</w:t>
            </w:r>
          </w:p>
        </w:tc>
        <w:tc>
          <w:tcPr>
            <w:tcW w:w="2690" w:type="dxa"/>
            <w:shd w:val="clear" w:color="auto" w:fill="000000" w:themeFill="text1"/>
            <w:tcMar>
              <w:top w:w="60" w:type="dxa"/>
              <w:left w:w="100" w:type="dxa"/>
              <w:bottom w:w="60" w:type="dxa"/>
              <w:right w:w="100" w:type="dxa"/>
            </w:tcMar>
            <w:vAlign w:val="center"/>
          </w:tcPr>
          <w:p w14:paraId="2A4DA8A0" w14:textId="77777777" w:rsidR="005D2875" w:rsidRDefault="00B855E4" w:rsidP="0083082A">
            <w:pPr>
              <w:spacing w:before="40" w:after="40"/>
              <w:jc w:val="center"/>
            </w:pPr>
            <w:r>
              <w:rPr>
                <w:b/>
                <w:bCs/>
                <w:color w:val="FFFFFF"/>
                <w:sz w:val="20"/>
                <w:szCs w:val="20"/>
              </w:rPr>
              <w:t>模型给出的信息</w:t>
            </w:r>
          </w:p>
        </w:tc>
        <w:tc>
          <w:tcPr>
            <w:tcW w:w="1524" w:type="dxa"/>
            <w:shd w:val="clear" w:color="auto" w:fill="000000" w:themeFill="text1"/>
            <w:tcMar>
              <w:top w:w="60" w:type="dxa"/>
              <w:left w:w="100" w:type="dxa"/>
              <w:bottom w:w="60" w:type="dxa"/>
              <w:right w:w="100" w:type="dxa"/>
            </w:tcMar>
            <w:vAlign w:val="center"/>
          </w:tcPr>
          <w:p w14:paraId="004AC27E" w14:textId="77777777" w:rsidR="005D2875" w:rsidRDefault="00B855E4" w:rsidP="0083082A">
            <w:pPr>
              <w:spacing w:before="40" w:after="40"/>
              <w:jc w:val="center"/>
            </w:pPr>
            <w:r>
              <w:rPr>
                <w:b/>
                <w:bCs/>
                <w:color w:val="FFFFFF"/>
                <w:sz w:val="20"/>
                <w:szCs w:val="20"/>
              </w:rPr>
              <w:t>核验结论</w:t>
            </w:r>
          </w:p>
        </w:tc>
        <w:tc>
          <w:tcPr>
            <w:tcW w:w="2421" w:type="dxa"/>
            <w:shd w:val="clear" w:color="auto" w:fill="000000" w:themeFill="text1"/>
            <w:tcMar>
              <w:top w:w="60" w:type="dxa"/>
              <w:left w:w="100" w:type="dxa"/>
              <w:bottom w:w="60" w:type="dxa"/>
              <w:right w:w="100" w:type="dxa"/>
            </w:tcMar>
            <w:vAlign w:val="center"/>
          </w:tcPr>
          <w:p w14:paraId="4F14105F" w14:textId="77777777" w:rsidR="005D2875" w:rsidRDefault="00B855E4" w:rsidP="0083082A">
            <w:pPr>
              <w:spacing w:before="40" w:after="40"/>
              <w:jc w:val="center"/>
            </w:pPr>
            <w:r>
              <w:rPr>
                <w:b/>
                <w:bCs/>
                <w:color w:val="FFFFFF"/>
                <w:sz w:val="20"/>
                <w:szCs w:val="20"/>
              </w:rPr>
              <w:t>说明</w:t>
            </w:r>
          </w:p>
        </w:tc>
      </w:tr>
      <w:tr w:rsidR="005D2875" w14:paraId="19E77D8B" w14:textId="77777777" w:rsidTr="00E02573">
        <w:trPr>
          <w:trHeight w:val="1107"/>
        </w:trPr>
        <w:tc>
          <w:tcPr>
            <w:tcW w:w="807" w:type="dxa"/>
            <w:tcMar>
              <w:top w:w="60" w:type="dxa"/>
              <w:left w:w="100" w:type="dxa"/>
              <w:bottom w:w="60" w:type="dxa"/>
              <w:right w:w="100" w:type="dxa"/>
            </w:tcMar>
            <w:vAlign w:val="center"/>
          </w:tcPr>
          <w:p w14:paraId="52B708DF" w14:textId="77777777" w:rsidR="005D2875" w:rsidRDefault="00B855E4" w:rsidP="0083082A">
            <w:pPr>
              <w:spacing w:before="40" w:after="40"/>
              <w:jc w:val="center"/>
            </w:pPr>
            <w:r>
              <w:rPr>
                <w:color w:val="000000"/>
                <w:sz w:val="20"/>
                <w:szCs w:val="20"/>
              </w:rPr>
              <w:t>T1</w:t>
            </w:r>
          </w:p>
        </w:tc>
        <w:tc>
          <w:tcPr>
            <w:tcW w:w="1524" w:type="dxa"/>
            <w:tcMar>
              <w:top w:w="60" w:type="dxa"/>
              <w:left w:w="100" w:type="dxa"/>
              <w:bottom w:w="60" w:type="dxa"/>
              <w:right w:w="100" w:type="dxa"/>
            </w:tcMar>
            <w:vAlign w:val="center"/>
          </w:tcPr>
          <w:p w14:paraId="52DC220F" w14:textId="77777777" w:rsidR="005D2875" w:rsidRDefault="00B855E4" w:rsidP="0083082A">
            <w:pPr>
              <w:spacing w:before="40" w:after="40"/>
              <w:jc w:val="center"/>
            </w:pPr>
            <w:r>
              <w:rPr>
                <w:color w:val="000000"/>
                <w:sz w:val="20"/>
                <w:szCs w:val="20"/>
              </w:rPr>
              <w:t>CAFE</w:t>
            </w:r>
          </w:p>
        </w:tc>
        <w:tc>
          <w:tcPr>
            <w:tcW w:w="2690" w:type="dxa"/>
            <w:tcMar>
              <w:top w:w="60" w:type="dxa"/>
              <w:left w:w="100" w:type="dxa"/>
              <w:bottom w:w="60" w:type="dxa"/>
              <w:right w:w="100" w:type="dxa"/>
            </w:tcMar>
            <w:vAlign w:val="center"/>
          </w:tcPr>
          <w:p w14:paraId="62138B7D" w14:textId="77777777" w:rsidR="005D2875" w:rsidRDefault="00B855E4" w:rsidP="0083082A">
            <w:pPr>
              <w:spacing w:before="40" w:after="40"/>
              <w:jc w:val="center"/>
            </w:pPr>
            <w:r>
              <w:rPr>
                <w:color w:val="000000"/>
                <w:sz w:val="20"/>
                <w:szCs w:val="20"/>
              </w:rPr>
              <w:t>Cross-modal Ambiguity Learning</w:t>
            </w:r>
            <w:r>
              <w:rPr>
                <w:color w:val="000000"/>
                <w:sz w:val="20"/>
                <w:szCs w:val="20"/>
              </w:rPr>
              <w:t>，</w:t>
            </w:r>
            <w:r>
              <w:rPr>
                <w:color w:val="000000"/>
                <w:sz w:val="20"/>
                <w:szCs w:val="20"/>
              </w:rPr>
              <w:t>CVPR 2022</w:t>
            </w:r>
          </w:p>
        </w:tc>
        <w:tc>
          <w:tcPr>
            <w:tcW w:w="1524" w:type="dxa"/>
            <w:tcMar>
              <w:top w:w="60" w:type="dxa"/>
              <w:left w:w="100" w:type="dxa"/>
              <w:bottom w:w="60" w:type="dxa"/>
              <w:right w:w="100" w:type="dxa"/>
            </w:tcMar>
            <w:vAlign w:val="center"/>
          </w:tcPr>
          <w:p w14:paraId="22DB25C9" w14:textId="77777777" w:rsidR="005D2875" w:rsidRDefault="00B855E4" w:rsidP="0083082A">
            <w:pPr>
              <w:spacing w:before="40" w:after="40"/>
              <w:jc w:val="center"/>
            </w:pPr>
            <w:r>
              <w:rPr>
                <w:color w:val="000000"/>
                <w:sz w:val="20"/>
                <w:szCs w:val="20"/>
              </w:rPr>
              <w:t>存在细节错误</w:t>
            </w:r>
          </w:p>
        </w:tc>
        <w:tc>
          <w:tcPr>
            <w:tcW w:w="2421" w:type="dxa"/>
            <w:tcMar>
              <w:top w:w="60" w:type="dxa"/>
              <w:left w:w="100" w:type="dxa"/>
              <w:bottom w:w="60" w:type="dxa"/>
              <w:right w:w="100" w:type="dxa"/>
            </w:tcMar>
            <w:vAlign w:val="center"/>
          </w:tcPr>
          <w:p w14:paraId="4C454EA9" w14:textId="77777777" w:rsidR="005D2875" w:rsidRDefault="00B855E4" w:rsidP="0083082A">
            <w:pPr>
              <w:spacing w:before="40" w:after="40"/>
              <w:jc w:val="center"/>
            </w:pPr>
            <w:r>
              <w:rPr>
                <w:color w:val="000000"/>
                <w:sz w:val="20"/>
                <w:szCs w:val="20"/>
              </w:rPr>
              <w:t>论文真实存在，实际发表于</w:t>
            </w:r>
            <w:r>
              <w:rPr>
                <w:color w:val="000000"/>
                <w:sz w:val="20"/>
                <w:szCs w:val="20"/>
              </w:rPr>
              <w:t xml:space="preserve"> ACM Web Conference</w:t>
            </w:r>
            <w:r>
              <w:rPr>
                <w:color w:val="000000"/>
                <w:sz w:val="20"/>
                <w:szCs w:val="20"/>
              </w:rPr>
              <w:t>（</w:t>
            </w:r>
            <w:r>
              <w:rPr>
                <w:color w:val="000000"/>
                <w:sz w:val="20"/>
                <w:szCs w:val="20"/>
              </w:rPr>
              <w:t>WWW</w:t>
            </w:r>
            <w:r>
              <w:rPr>
                <w:color w:val="000000"/>
                <w:sz w:val="20"/>
                <w:szCs w:val="20"/>
              </w:rPr>
              <w:t>）</w:t>
            </w:r>
            <w:r>
              <w:rPr>
                <w:color w:val="000000"/>
                <w:sz w:val="20"/>
                <w:szCs w:val="20"/>
              </w:rPr>
              <w:t>2022</w:t>
            </w:r>
            <w:r>
              <w:rPr>
                <w:color w:val="000000"/>
                <w:sz w:val="20"/>
                <w:szCs w:val="20"/>
              </w:rPr>
              <w:t>，会议名称被替换</w:t>
            </w:r>
          </w:p>
        </w:tc>
      </w:tr>
      <w:tr w:rsidR="005D2875" w14:paraId="42128D5E" w14:textId="77777777" w:rsidTr="005253F0">
        <w:trPr>
          <w:trHeight w:val="614"/>
        </w:trPr>
        <w:tc>
          <w:tcPr>
            <w:tcW w:w="807" w:type="dxa"/>
            <w:shd w:val="clear" w:color="auto" w:fill="FFFFFF" w:themeFill="background1"/>
            <w:tcMar>
              <w:top w:w="60" w:type="dxa"/>
              <w:left w:w="100" w:type="dxa"/>
              <w:bottom w:w="60" w:type="dxa"/>
              <w:right w:w="100" w:type="dxa"/>
            </w:tcMar>
            <w:vAlign w:val="center"/>
          </w:tcPr>
          <w:p w14:paraId="60C7F04C" w14:textId="77777777" w:rsidR="005D2875" w:rsidRDefault="00B855E4" w:rsidP="0083082A">
            <w:pPr>
              <w:spacing w:before="40" w:after="40"/>
              <w:jc w:val="center"/>
            </w:pPr>
            <w:r>
              <w:rPr>
                <w:color w:val="000000"/>
                <w:sz w:val="20"/>
                <w:szCs w:val="20"/>
              </w:rPr>
              <w:t>T1</w:t>
            </w:r>
          </w:p>
        </w:tc>
        <w:tc>
          <w:tcPr>
            <w:tcW w:w="1524" w:type="dxa"/>
            <w:shd w:val="clear" w:color="auto" w:fill="FFFFFF" w:themeFill="background1"/>
            <w:tcMar>
              <w:top w:w="60" w:type="dxa"/>
              <w:left w:w="100" w:type="dxa"/>
              <w:bottom w:w="60" w:type="dxa"/>
              <w:right w:w="100" w:type="dxa"/>
            </w:tcMar>
            <w:vAlign w:val="center"/>
          </w:tcPr>
          <w:p w14:paraId="715A734A" w14:textId="77777777" w:rsidR="005D2875" w:rsidRDefault="00B855E4" w:rsidP="0083082A">
            <w:pPr>
              <w:spacing w:before="40" w:after="40"/>
              <w:jc w:val="center"/>
            </w:pPr>
            <w:r>
              <w:rPr>
                <w:color w:val="000000"/>
                <w:sz w:val="20"/>
                <w:szCs w:val="20"/>
              </w:rPr>
              <w:t>SpotFake</w:t>
            </w:r>
          </w:p>
        </w:tc>
        <w:tc>
          <w:tcPr>
            <w:tcW w:w="2690" w:type="dxa"/>
            <w:shd w:val="clear" w:color="auto" w:fill="FFFFFF" w:themeFill="background1"/>
            <w:tcMar>
              <w:top w:w="60" w:type="dxa"/>
              <w:left w:w="100" w:type="dxa"/>
              <w:bottom w:w="60" w:type="dxa"/>
              <w:right w:w="100" w:type="dxa"/>
            </w:tcMar>
            <w:vAlign w:val="center"/>
          </w:tcPr>
          <w:p w14:paraId="3605DC5D" w14:textId="77777777" w:rsidR="005D2875" w:rsidRDefault="00B855E4" w:rsidP="0083082A">
            <w:pPr>
              <w:spacing w:before="40" w:after="40"/>
              <w:jc w:val="center"/>
            </w:pPr>
            <w:r>
              <w:rPr>
                <w:color w:val="000000"/>
                <w:sz w:val="20"/>
                <w:szCs w:val="20"/>
              </w:rPr>
              <w:t>IEEE BigMM 2019</w:t>
            </w:r>
          </w:p>
        </w:tc>
        <w:tc>
          <w:tcPr>
            <w:tcW w:w="1524" w:type="dxa"/>
            <w:shd w:val="clear" w:color="auto" w:fill="FFFFFF" w:themeFill="background1"/>
            <w:tcMar>
              <w:top w:w="60" w:type="dxa"/>
              <w:left w:w="100" w:type="dxa"/>
              <w:bottom w:w="60" w:type="dxa"/>
              <w:right w:w="100" w:type="dxa"/>
            </w:tcMar>
            <w:vAlign w:val="center"/>
          </w:tcPr>
          <w:p w14:paraId="19E3A6A4" w14:textId="77777777" w:rsidR="005D2875" w:rsidRDefault="00B855E4" w:rsidP="0083082A">
            <w:pPr>
              <w:spacing w:before="40" w:after="40"/>
              <w:jc w:val="center"/>
            </w:pPr>
            <w:r>
              <w:rPr>
                <w:color w:val="000000"/>
                <w:sz w:val="20"/>
                <w:szCs w:val="20"/>
              </w:rPr>
              <w:t>基本准确</w:t>
            </w:r>
          </w:p>
        </w:tc>
        <w:tc>
          <w:tcPr>
            <w:tcW w:w="2421" w:type="dxa"/>
            <w:shd w:val="clear" w:color="auto" w:fill="FFFFFF" w:themeFill="background1"/>
            <w:tcMar>
              <w:top w:w="60" w:type="dxa"/>
              <w:left w:w="100" w:type="dxa"/>
              <w:bottom w:w="60" w:type="dxa"/>
              <w:right w:w="100" w:type="dxa"/>
            </w:tcMar>
            <w:vAlign w:val="center"/>
          </w:tcPr>
          <w:p w14:paraId="4D7CA6A9" w14:textId="77777777" w:rsidR="005D2875" w:rsidRDefault="00B855E4" w:rsidP="0083082A">
            <w:pPr>
              <w:spacing w:before="40" w:after="40"/>
              <w:jc w:val="center"/>
            </w:pPr>
            <w:r>
              <w:rPr>
                <w:color w:val="000000"/>
                <w:sz w:val="20"/>
                <w:szCs w:val="20"/>
              </w:rPr>
              <w:t>与</w:t>
            </w:r>
            <w:r>
              <w:rPr>
                <w:color w:val="000000"/>
                <w:sz w:val="20"/>
                <w:szCs w:val="20"/>
              </w:rPr>
              <w:t xml:space="preserve"> 2019 </w:t>
            </w:r>
            <w:r>
              <w:rPr>
                <w:color w:val="000000"/>
                <w:sz w:val="20"/>
                <w:szCs w:val="20"/>
              </w:rPr>
              <w:t>年</w:t>
            </w:r>
            <w:r>
              <w:rPr>
                <w:color w:val="000000"/>
                <w:sz w:val="20"/>
                <w:szCs w:val="20"/>
              </w:rPr>
              <w:t xml:space="preserve"> IEEE BigMM </w:t>
            </w:r>
            <w:r>
              <w:rPr>
                <w:color w:val="000000"/>
                <w:sz w:val="20"/>
                <w:szCs w:val="20"/>
              </w:rPr>
              <w:t>会议记录一致</w:t>
            </w:r>
          </w:p>
        </w:tc>
      </w:tr>
      <w:tr w:rsidR="005D2875" w14:paraId="538B767C" w14:textId="77777777" w:rsidTr="00E02573">
        <w:trPr>
          <w:trHeight w:val="880"/>
        </w:trPr>
        <w:tc>
          <w:tcPr>
            <w:tcW w:w="807" w:type="dxa"/>
            <w:tcMar>
              <w:top w:w="60" w:type="dxa"/>
              <w:left w:w="100" w:type="dxa"/>
              <w:bottom w:w="60" w:type="dxa"/>
              <w:right w:w="100" w:type="dxa"/>
            </w:tcMar>
            <w:vAlign w:val="center"/>
          </w:tcPr>
          <w:p w14:paraId="5CC61F2C" w14:textId="77777777" w:rsidR="005D2875" w:rsidRDefault="00B855E4" w:rsidP="0083082A">
            <w:pPr>
              <w:spacing w:before="40" w:after="40"/>
              <w:jc w:val="center"/>
            </w:pPr>
            <w:r>
              <w:rPr>
                <w:color w:val="000000"/>
                <w:sz w:val="20"/>
                <w:szCs w:val="20"/>
              </w:rPr>
              <w:t>T1</w:t>
            </w:r>
          </w:p>
        </w:tc>
        <w:tc>
          <w:tcPr>
            <w:tcW w:w="1524" w:type="dxa"/>
            <w:tcMar>
              <w:top w:w="60" w:type="dxa"/>
              <w:left w:w="100" w:type="dxa"/>
              <w:bottom w:w="60" w:type="dxa"/>
              <w:right w:w="100" w:type="dxa"/>
            </w:tcMar>
            <w:vAlign w:val="center"/>
          </w:tcPr>
          <w:p w14:paraId="37A6B486" w14:textId="77777777" w:rsidR="005D2875" w:rsidRDefault="00B855E4" w:rsidP="0083082A">
            <w:pPr>
              <w:spacing w:before="40" w:after="40"/>
              <w:jc w:val="center"/>
            </w:pPr>
            <w:r>
              <w:rPr>
                <w:color w:val="000000"/>
                <w:sz w:val="20"/>
                <w:szCs w:val="20"/>
              </w:rPr>
              <w:t>MERF</w:t>
            </w:r>
          </w:p>
        </w:tc>
        <w:tc>
          <w:tcPr>
            <w:tcW w:w="2690" w:type="dxa"/>
            <w:tcMar>
              <w:top w:w="60" w:type="dxa"/>
              <w:left w:w="100" w:type="dxa"/>
              <w:bottom w:w="60" w:type="dxa"/>
              <w:right w:w="100" w:type="dxa"/>
            </w:tcMar>
            <w:vAlign w:val="center"/>
          </w:tcPr>
          <w:p w14:paraId="116854D8" w14:textId="77777777" w:rsidR="005D2875" w:rsidRDefault="00B855E4" w:rsidP="0083082A">
            <w:pPr>
              <w:spacing w:before="40" w:after="40"/>
              <w:jc w:val="center"/>
            </w:pPr>
            <w:r>
              <w:rPr>
                <w:color w:val="000000"/>
                <w:sz w:val="20"/>
                <w:szCs w:val="20"/>
              </w:rPr>
              <w:t>Multimodal Evidence Retrieval and Forensics</w:t>
            </w:r>
            <w:r>
              <w:rPr>
                <w:color w:val="000000"/>
                <w:sz w:val="20"/>
                <w:szCs w:val="20"/>
              </w:rPr>
              <w:t>，</w:t>
            </w:r>
            <w:r>
              <w:rPr>
                <w:color w:val="000000"/>
                <w:sz w:val="20"/>
                <w:szCs w:val="20"/>
              </w:rPr>
              <w:t>MDPI 2026</w:t>
            </w:r>
          </w:p>
        </w:tc>
        <w:tc>
          <w:tcPr>
            <w:tcW w:w="1524" w:type="dxa"/>
            <w:tcMar>
              <w:top w:w="60" w:type="dxa"/>
              <w:left w:w="100" w:type="dxa"/>
              <w:bottom w:w="60" w:type="dxa"/>
              <w:right w:w="100" w:type="dxa"/>
            </w:tcMar>
            <w:vAlign w:val="center"/>
          </w:tcPr>
          <w:p w14:paraId="6A8BA5FA" w14:textId="77777777" w:rsidR="005D2875" w:rsidRDefault="00B855E4" w:rsidP="0083082A">
            <w:pPr>
              <w:spacing w:before="40" w:after="40"/>
              <w:jc w:val="center"/>
            </w:pPr>
            <w:r>
              <w:rPr>
                <w:color w:val="000000"/>
                <w:sz w:val="20"/>
                <w:szCs w:val="20"/>
              </w:rPr>
              <w:t>基本准确</w:t>
            </w:r>
          </w:p>
        </w:tc>
        <w:tc>
          <w:tcPr>
            <w:tcW w:w="2421" w:type="dxa"/>
            <w:tcMar>
              <w:top w:w="60" w:type="dxa"/>
              <w:left w:w="100" w:type="dxa"/>
              <w:bottom w:w="60" w:type="dxa"/>
              <w:right w:w="100" w:type="dxa"/>
            </w:tcMar>
            <w:vAlign w:val="center"/>
          </w:tcPr>
          <w:p w14:paraId="0A6B5AEA" w14:textId="77777777" w:rsidR="005D2875" w:rsidRDefault="00B855E4" w:rsidP="0083082A">
            <w:pPr>
              <w:spacing w:before="40" w:after="40"/>
              <w:jc w:val="center"/>
            </w:pPr>
            <w:r>
              <w:rPr>
                <w:color w:val="000000"/>
                <w:sz w:val="20"/>
                <w:szCs w:val="20"/>
              </w:rPr>
              <w:t>确系真实文献，发表于</w:t>
            </w:r>
            <w:r>
              <w:rPr>
                <w:color w:val="000000"/>
                <w:sz w:val="20"/>
                <w:szCs w:val="20"/>
              </w:rPr>
              <w:t xml:space="preserve"> MDPI </w:t>
            </w:r>
            <w:r>
              <w:rPr>
                <w:color w:val="000000"/>
                <w:sz w:val="20"/>
                <w:szCs w:val="20"/>
              </w:rPr>
              <w:t>旗下</w:t>
            </w:r>
            <w:r>
              <w:rPr>
                <w:color w:val="000000"/>
                <w:sz w:val="20"/>
                <w:szCs w:val="20"/>
              </w:rPr>
              <w:t xml:space="preserve"> Information </w:t>
            </w:r>
            <w:r>
              <w:rPr>
                <w:color w:val="000000"/>
                <w:sz w:val="20"/>
                <w:szCs w:val="20"/>
              </w:rPr>
              <w:t>期刊，</w:t>
            </w:r>
            <w:r>
              <w:rPr>
                <w:color w:val="000000"/>
                <w:sz w:val="20"/>
                <w:szCs w:val="20"/>
              </w:rPr>
              <w:t xml:space="preserve">2026 </w:t>
            </w:r>
            <w:r>
              <w:rPr>
                <w:color w:val="000000"/>
                <w:sz w:val="20"/>
                <w:szCs w:val="20"/>
              </w:rPr>
              <w:t>年</w:t>
            </w:r>
          </w:p>
        </w:tc>
      </w:tr>
      <w:tr w:rsidR="005D2875" w14:paraId="03225A5C" w14:textId="77777777" w:rsidTr="005253F0">
        <w:trPr>
          <w:trHeight w:val="614"/>
        </w:trPr>
        <w:tc>
          <w:tcPr>
            <w:tcW w:w="807" w:type="dxa"/>
            <w:shd w:val="clear" w:color="auto" w:fill="FFFFFF" w:themeFill="background1"/>
            <w:tcMar>
              <w:top w:w="60" w:type="dxa"/>
              <w:left w:w="100" w:type="dxa"/>
              <w:bottom w:w="60" w:type="dxa"/>
              <w:right w:w="100" w:type="dxa"/>
            </w:tcMar>
            <w:vAlign w:val="center"/>
          </w:tcPr>
          <w:p w14:paraId="284D44B8" w14:textId="77777777" w:rsidR="005D2875" w:rsidRDefault="00B855E4" w:rsidP="0083082A">
            <w:pPr>
              <w:spacing w:before="40" w:after="40"/>
              <w:jc w:val="center"/>
            </w:pPr>
            <w:r>
              <w:rPr>
                <w:color w:val="000000"/>
                <w:sz w:val="20"/>
                <w:szCs w:val="20"/>
              </w:rPr>
              <w:t>T2</w:t>
            </w:r>
          </w:p>
        </w:tc>
        <w:tc>
          <w:tcPr>
            <w:tcW w:w="1524" w:type="dxa"/>
            <w:shd w:val="clear" w:color="auto" w:fill="FFFFFF" w:themeFill="background1"/>
            <w:tcMar>
              <w:top w:w="60" w:type="dxa"/>
              <w:left w:w="100" w:type="dxa"/>
              <w:bottom w:w="60" w:type="dxa"/>
              <w:right w:w="100" w:type="dxa"/>
            </w:tcMar>
            <w:vAlign w:val="center"/>
          </w:tcPr>
          <w:p w14:paraId="3752203C" w14:textId="77777777" w:rsidR="005D2875" w:rsidRDefault="00B855E4" w:rsidP="0083082A">
            <w:pPr>
              <w:spacing w:before="40" w:after="40"/>
              <w:jc w:val="center"/>
            </w:pPr>
            <w:r>
              <w:rPr>
                <w:color w:val="000000"/>
                <w:sz w:val="20"/>
                <w:szCs w:val="20"/>
              </w:rPr>
              <w:t>MVAE</w:t>
            </w:r>
          </w:p>
        </w:tc>
        <w:tc>
          <w:tcPr>
            <w:tcW w:w="2690" w:type="dxa"/>
            <w:shd w:val="clear" w:color="auto" w:fill="FFFFFF" w:themeFill="background1"/>
            <w:tcMar>
              <w:top w:w="60" w:type="dxa"/>
              <w:left w:w="100" w:type="dxa"/>
              <w:bottom w:w="60" w:type="dxa"/>
              <w:right w:w="100" w:type="dxa"/>
            </w:tcMar>
            <w:vAlign w:val="center"/>
          </w:tcPr>
          <w:p w14:paraId="64AB6C05" w14:textId="77777777" w:rsidR="005D2875" w:rsidRDefault="00B855E4" w:rsidP="0083082A">
            <w:pPr>
              <w:spacing w:before="40" w:after="40"/>
              <w:jc w:val="center"/>
            </w:pPr>
            <w:r>
              <w:rPr>
                <w:color w:val="000000"/>
                <w:sz w:val="20"/>
                <w:szCs w:val="20"/>
              </w:rPr>
              <w:t>Khattar et al., WWW 2019</w:t>
            </w:r>
          </w:p>
        </w:tc>
        <w:tc>
          <w:tcPr>
            <w:tcW w:w="1524" w:type="dxa"/>
            <w:shd w:val="clear" w:color="auto" w:fill="FFFFFF" w:themeFill="background1"/>
            <w:tcMar>
              <w:top w:w="60" w:type="dxa"/>
              <w:left w:w="100" w:type="dxa"/>
              <w:bottom w:w="60" w:type="dxa"/>
              <w:right w:w="100" w:type="dxa"/>
            </w:tcMar>
            <w:vAlign w:val="center"/>
          </w:tcPr>
          <w:p w14:paraId="1F5BEDEF" w14:textId="77777777" w:rsidR="005D2875" w:rsidRDefault="00B855E4" w:rsidP="0083082A">
            <w:pPr>
              <w:spacing w:before="40" w:after="40"/>
              <w:jc w:val="center"/>
            </w:pPr>
            <w:r>
              <w:rPr>
                <w:color w:val="000000"/>
                <w:sz w:val="20"/>
                <w:szCs w:val="20"/>
              </w:rPr>
              <w:t>基本准确</w:t>
            </w:r>
          </w:p>
        </w:tc>
        <w:tc>
          <w:tcPr>
            <w:tcW w:w="2421" w:type="dxa"/>
            <w:shd w:val="clear" w:color="auto" w:fill="FFFFFF" w:themeFill="background1"/>
            <w:tcMar>
              <w:top w:w="60" w:type="dxa"/>
              <w:left w:w="100" w:type="dxa"/>
              <w:bottom w:w="60" w:type="dxa"/>
              <w:right w:w="100" w:type="dxa"/>
            </w:tcMar>
            <w:vAlign w:val="center"/>
          </w:tcPr>
          <w:p w14:paraId="24C3B5CE" w14:textId="77777777" w:rsidR="005D2875" w:rsidRDefault="00B855E4" w:rsidP="0083082A">
            <w:pPr>
              <w:spacing w:before="40" w:after="40"/>
              <w:jc w:val="center"/>
            </w:pPr>
            <w:r>
              <w:rPr>
                <w:color w:val="000000"/>
                <w:sz w:val="20"/>
                <w:szCs w:val="20"/>
              </w:rPr>
              <w:t>为</w:t>
            </w:r>
            <w:r>
              <w:rPr>
                <w:color w:val="000000"/>
                <w:sz w:val="20"/>
                <w:szCs w:val="20"/>
              </w:rPr>
              <w:t xml:space="preserve"> VAE </w:t>
            </w:r>
            <w:r>
              <w:rPr>
                <w:color w:val="000000"/>
                <w:sz w:val="20"/>
                <w:szCs w:val="20"/>
              </w:rPr>
              <w:t>路线代表性奠基工作，信息一致</w:t>
            </w:r>
          </w:p>
        </w:tc>
      </w:tr>
      <w:tr w:rsidR="005D2875" w14:paraId="0C90E7D4" w14:textId="77777777" w:rsidTr="00E02573">
        <w:trPr>
          <w:trHeight w:val="880"/>
        </w:trPr>
        <w:tc>
          <w:tcPr>
            <w:tcW w:w="807" w:type="dxa"/>
            <w:tcMar>
              <w:top w:w="60" w:type="dxa"/>
              <w:left w:w="100" w:type="dxa"/>
              <w:bottom w:w="60" w:type="dxa"/>
              <w:right w:w="100" w:type="dxa"/>
            </w:tcMar>
            <w:vAlign w:val="center"/>
          </w:tcPr>
          <w:p w14:paraId="57F12994" w14:textId="77777777" w:rsidR="005D2875" w:rsidRDefault="00B855E4" w:rsidP="0083082A">
            <w:pPr>
              <w:spacing w:before="40" w:after="40"/>
              <w:jc w:val="center"/>
            </w:pPr>
            <w:r>
              <w:rPr>
                <w:color w:val="000000"/>
                <w:sz w:val="20"/>
                <w:szCs w:val="20"/>
              </w:rPr>
              <w:t>T2</w:t>
            </w:r>
          </w:p>
        </w:tc>
        <w:tc>
          <w:tcPr>
            <w:tcW w:w="1524" w:type="dxa"/>
            <w:tcMar>
              <w:top w:w="60" w:type="dxa"/>
              <w:left w:w="100" w:type="dxa"/>
              <w:bottom w:w="60" w:type="dxa"/>
              <w:right w:w="100" w:type="dxa"/>
            </w:tcMar>
            <w:vAlign w:val="center"/>
          </w:tcPr>
          <w:p w14:paraId="59D4E869" w14:textId="77777777" w:rsidR="005D2875" w:rsidRDefault="00B855E4" w:rsidP="0083082A">
            <w:pPr>
              <w:spacing w:before="40" w:after="40"/>
              <w:jc w:val="center"/>
            </w:pPr>
            <w:r>
              <w:rPr>
                <w:color w:val="000000"/>
                <w:sz w:val="20"/>
                <w:szCs w:val="20"/>
              </w:rPr>
              <w:t>LLM-Consensus</w:t>
            </w:r>
          </w:p>
        </w:tc>
        <w:tc>
          <w:tcPr>
            <w:tcW w:w="2690" w:type="dxa"/>
            <w:tcMar>
              <w:top w:w="60" w:type="dxa"/>
              <w:left w:w="100" w:type="dxa"/>
              <w:bottom w:w="60" w:type="dxa"/>
              <w:right w:w="100" w:type="dxa"/>
            </w:tcMar>
            <w:vAlign w:val="center"/>
          </w:tcPr>
          <w:p w14:paraId="57E4E639" w14:textId="77777777" w:rsidR="005D2875" w:rsidRDefault="00B855E4" w:rsidP="0083082A">
            <w:pPr>
              <w:spacing w:before="40" w:after="40"/>
              <w:jc w:val="center"/>
            </w:pPr>
            <w:r>
              <w:rPr>
                <w:color w:val="000000"/>
                <w:sz w:val="20"/>
                <w:szCs w:val="20"/>
              </w:rPr>
              <w:t>arXiv 2024</w:t>
            </w:r>
          </w:p>
        </w:tc>
        <w:tc>
          <w:tcPr>
            <w:tcW w:w="1524" w:type="dxa"/>
            <w:tcMar>
              <w:top w:w="60" w:type="dxa"/>
              <w:left w:w="100" w:type="dxa"/>
              <w:bottom w:w="60" w:type="dxa"/>
              <w:right w:w="100" w:type="dxa"/>
            </w:tcMar>
            <w:vAlign w:val="center"/>
          </w:tcPr>
          <w:p w14:paraId="03610FFF" w14:textId="77777777" w:rsidR="005D2875" w:rsidRDefault="00B855E4" w:rsidP="0083082A">
            <w:pPr>
              <w:spacing w:before="40" w:after="40"/>
              <w:jc w:val="center"/>
            </w:pPr>
            <w:r>
              <w:rPr>
                <w:color w:val="000000"/>
                <w:sz w:val="20"/>
                <w:szCs w:val="20"/>
              </w:rPr>
              <w:t>无法定位</w:t>
            </w:r>
            <w:r>
              <w:rPr>
                <w:color w:val="000000"/>
                <w:sz w:val="20"/>
                <w:szCs w:val="20"/>
              </w:rPr>
              <w:t>/</w:t>
            </w:r>
            <w:r>
              <w:rPr>
                <w:color w:val="000000"/>
                <w:sz w:val="20"/>
                <w:szCs w:val="20"/>
              </w:rPr>
              <w:t>存疑</w:t>
            </w:r>
          </w:p>
        </w:tc>
        <w:tc>
          <w:tcPr>
            <w:tcW w:w="2421" w:type="dxa"/>
            <w:tcMar>
              <w:top w:w="60" w:type="dxa"/>
              <w:left w:w="100" w:type="dxa"/>
              <w:bottom w:w="60" w:type="dxa"/>
              <w:right w:w="100" w:type="dxa"/>
            </w:tcMar>
            <w:vAlign w:val="center"/>
          </w:tcPr>
          <w:p w14:paraId="3DAF63B5" w14:textId="77777777" w:rsidR="005D2875" w:rsidRDefault="00B855E4" w:rsidP="0083082A">
            <w:pPr>
              <w:spacing w:before="40" w:after="40"/>
              <w:jc w:val="center"/>
            </w:pPr>
            <w:r>
              <w:rPr>
                <w:color w:val="000000"/>
                <w:sz w:val="20"/>
                <w:szCs w:val="20"/>
              </w:rPr>
              <w:t>未能检索到与该名称精确对应的单一论文，疑似对某类工作的泛化概括</w:t>
            </w:r>
          </w:p>
        </w:tc>
      </w:tr>
      <w:tr w:rsidR="005D2875" w14:paraId="07F23506" w14:textId="77777777" w:rsidTr="005253F0">
        <w:trPr>
          <w:trHeight w:val="870"/>
        </w:trPr>
        <w:tc>
          <w:tcPr>
            <w:tcW w:w="807" w:type="dxa"/>
            <w:shd w:val="clear" w:color="auto" w:fill="FFFFFF" w:themeFill="background1"/>
            <w:tcMar>
              <w:top w:w="60" w:type="dxa"/>
              <w:left w:w="100" w:type="dxa"/>
              <w:bottom w:w="60" w:type="dxa"/>
              <w:right w:w="100" w:type="dxa"/>
            </w:tcMar>
            <w:vAlign w:val="center"/>
          </w:tcPr>
          <w:p w14:paraId="2E1A7806" w14:textId="77777777" w:rsidR="005D2875" w:rsidRDefault="00B855E4" w:rsidP="0083082A">
            <w:pPr>
              <w:spacing w:before="40" w:after="40"/>
              <w:jc w:val="center"/>
            </w:pPr>
            <w:r>
              <w:rPr>
                <w:color w:val="000000"/>
                <w:sz w:val="20"/>
                <w:szCs w:val="20"/>
              </w:rPr>
              <w:t>T2</w:t>
            </w:r>
          </w:p>
        </w:tc>
        <w:tc>
          <w:tcPr>
            <w:tcW w:w="1524" w:type="dxa"/>
            <w:shd w:val="clear" w:color="auto" w:fill="FFFFFF" w:themeFill="background1"/>
            <w:tcMar>
              <w:top w:w="60" w:type="dxa"/>
              <w:left w:w="100" w:type="dxa"/>
              <w:bottom w:w="60" w:type="dxa"/>
              <w:right w:w="100" w:type="dxa"/>
            </w:tcMar>
            <w:vAlign w:val="center"/>
          </w:tcPr>
          <w:p w14:paraId="487B4703" w14:textId="77777777" w:rsidR="005D2875" w:rsidRDefault="00B855E4" w:rsidP="0083082A">
            <w:pPr>
              <w:spacing w:before="40" w:after="40"/>
              <w:jc w:val="center"/>
            </w:pPr>
            <w:r>
              <w:rPr>
                <w:color w:val="000000"/>
                <w:sz w:val="20"/>
                <w:szCs w:val="20"/>
              </w:rPr>
              <w:t>Debate-to-Detect</w:t>
            </w:r>
          </w:p>
        </w:tc>
        <w:tc>
          <w:tcPr>
            <w:tcW w:w="2690" w:type="dxa"/>
            <w:shd w:val="clear" w:color="auto" w:fill="FFFFFF" w:themeFill="background1"/>
            <w:tcMar>
              <w:top w:w="60" w:type="dxa"/>
              <w:left w:w="100" w:type="dxa"/>
              <w:bottom w:w="60" w:type="dxa"/>
              <w:right w:w="100" w:type="dxa"/>
            </w:tcMar>
            <w:vAlign w:val="center"/>
          </w:tcPr>
          <w:p w14:paraId="3C6006D9" w14:textId="77777777" w:rsidR="005D2875" w:rsidRDefault="00B855E4" w:rsidP="0083082A">
            <w:pPr>
              <w:spacing w:before="40" w:after="40"/>
              <w:jc w:val="center"/>
            </w:pPr>
            <w:r>
              <w:rPr>
                <w:color w:val="000000"/>
                <w:sz w:val="20"/>
                <w:szCs w:val="20"/>
              </w:rPr>
              <w:t>标注年份为</w:t>
            </w:r>
            <w:r>
              <w:rPr>
                <w:color w:val="000000"/>
                <w:sz w:val="20"/>
                <w:szCs w:val="20"/>
              </w:rPr>
              <w:t xml:space="preserve"> 2026</w:t>
            </w:r>
          </w:p>
        </w:tc>
        <w:tc>
          <w:tcPr>
            <w:tcW w:w="1524" w:type="dxa"/>
            <w:shd w:val="clear" w:color="auto" w:fill="FFFFFF" w:themeFill="background1"/>
            <w:tcMar>
              <w:top w:w="60" w:type="dxa"/>
              <w:left w:w="100" w:type="dxa"/>
              <w:bottom w:w="60" w:type="dxa"/>
              <w:right w:w="100" w:type="dxa"/>
            </w:tcMar>
            <w:vAlign w:val="center"/>
          </w:tcPr>
          <w:p w14:paraId="4AF3749E" w14:textId="77777777" w:rsidR="005D2875" w:rsidRDefault="00B855E4" w:rsidP="0083082A">
            <w:pPr>
              <w:spacing w:before="40" w:after="40"/>
              <w:jc w:val="center"/>
            </w:pPr>
            <w:r>
              <w:rPr>
                <w:color w:val="000000"/>
                <w:sz w:val="20"/>
                <w:szCs w:val="20"/>
              </w:rPr>
              <w:t>存在细节错误</w:t>
            </w:r>
          </w:p>
        </w:tc>
        <w:tc>
          <w:tcPr>
            <w:tcW w:w="2421" w:type="dxa"/>
            <w:shd w:val="clear" w:color="auto" w:fill="FFFFFF" w:themeFill="background1"/>
            <w:tcMar>
              <w:top w:w="60" w:type="dxa"/>
              <w:left w:w="100" w:type="dxa"/>
              <w:bottom w:w="60" w:type="dxa"/>
              <w:right w:w="100" w:type="dxa"/>
            </w:tcMar>
            <w:vAlign w:val="center"/>
          </w:tcPr>
          <w:p w14:paraId="78CDBDAB" w14:textId="77777777" w:rsidR="005D2875" w:rsidRDefault="00B855E4" w:rsidP="0083082A">
            <w:pPr>
              <w:spacing w:before="40" w:after="40"/>
              <w:jc w:val="center"/>
            </w:pPr>
            <w:r>
              <w:rPr>
                <w:color w:val="000000"/>
                <w:sz w:val="20"/>
                <w:szCs w:val="20"/>
              </w:rPr>
              <w:t>论文真实存在，实际首次公开于</w:t>
            </w:r>
            <w:r>
              <w:rPr>
                <w:color w:val="000000"/>
                <w:sz w:val="20"/>
                <w:szCs w:val="20"/>
              </w:rPr>
              <w:t xml:space="preserve"> 2025 </w:t>
            </w:r>
            <w:r>
              <w:rPr>
                <w:color w:val="000000"/>
                <w:sz w:val="20"/>
                <w:szCs w:val="20"/>
              </w:rPr>
              <w:t>年（</w:t>
            </w:r>
            <w:r>
              <w:rPr>
                <w:color w:val="000000"/>
                <w:sz w:val="20"/>
                <w:szCs w:val="20"/>
              </w:rPr>
              <w:t>arXiv 2505.18596</w:t>
            </w:r>
            <w:r>
              <w:rPr>
                <w:color w:val="000000"/>
                <w:sz w:val="20"/>
                <w:szCs w:val="20"/>
              </w:rPr>
              <w:t>）</w:t>
            </w:r>
          </w:p>
        </w:tc>
      </w:tr>
      <w:tr w:rsidR="005D2875" w14:paraId="45CFD7E6" w14:textId="77777777" w:rsidTr="00E02573">
        <w:trPr>
          <w:trHeight w:val="614"/>
        </w:trPr>
        <w:tc>
          <w:tcPr>
            <w:tcW w:w="807" w:type="dxa"/>
            <w:tcMar>
              <w:top w:w="60" w:type="dxa"/>
              <w:left w:w="100" w:type="dxa"/>
              <w:bottom w:w="60" w:type="dxa"/>
              <w:right w:w="100" w:type="dxa"/>
            </w:tcMar>
            <w:vAlign w:val="center"/>
          </w:tcPr>
          <w:p w14:paraId="71E8C9DE" w14:textId="77777777" w:rsidR="005D2875" w:rsidRDefault="00B855E4" w:rsidP="0083082A">
            <w:pPr>
              <w:spacing w:before="40" w:after="40"/>
              <w:jc w:val="center"/>
            </w:pPr>
            <w:r>
              <w:rPr>
                <w:color w:val="000000"/>
                <w:sz w:val="20"/>
                <w:szCs w:val="20"/>
              </w:rPr>
              <w:t>T3</w:t>
            </w:r>
          </w:p>
        </w:tc>
        <w:tc>
          <w:tcPr>
            <w:tcW w:w="1524" w:type="dxa"/>
            <w:tcMar>
              <w:top w:w="60" w:type="dxa"/>
              <w:left w:w="100" w:type="dxa"/>
              <w:bottom w:w="60" w:type="dxa"/>
              <w:right w:w="100" w:type="dxa"/>
            </w:tcMar>
            <w:vAlign w:val="center"/>
          </w:tcPr>
          <w:p w14:paraId="0A954DAD" w14:textId="77777777" w:rsidR="005D2875" w:rsidRDefault="00B855E4" w:rsidP="0083082A">
            <w:pPr>
              <w:spacing w:before="40" w:after="40"/>
              <w:jc w:val="center"/>
            </w:pPr>
            <w:r>
              <w:rPr>
                <w:color w:val="000000"/>
                <w:sz w:val="20"/>
                <w:szCs w:val="20"/>
              </w:rPr>
              <w:t>SAFE</w:t>
            </w:r>
          </w:p>
        </w:tc>
        <w:tc>
          <w:tcPr>
            <w:tcW w:w="2690" w:type="dxa"/>
            <w:tcMar>
              <w:top w:w="60" w:type="dxa"/>
              <w:left w:w="100" w:type="dxa"/>
              <w:bottom w:w="60" w:type="dxa"/>
              <w:right w:w="100" w:type="dxa"/>
            </w:tcMar>
            <w:vAlign w:val="center"/>
          </w:tcPr>
          <w:p w14:paraId="1CD19B6D" w14:textId="77777777" w:rsidR="005D2875" w:rsidRDefault="00B855E4" w:rsidP="0083082A">
            <w:pPr>
              <w:spacing w:before="40" w:after="40"/>
              <w:jc w:val="center"/>
            </w:pPr>
            <w:r>
              <w:rPr>
                <w:color w:val="000000"/>
                <w:sz w:val="20"/>
                <w:szCs w:val="20"/>
              </w:rPr>
              <w:t>Zhou et al., 2020</w:t>
            </w:r>
          </w:p>
        </w:tc>
        <w:tc>
          <w:tcPr>
            <w:tcW w:w="1524" w:type="dxa"/>
            <w:tcMar>
              <w:top w:w="60" w:type="dxa"/>
              <w:left w:w="100" w:type="dxa"/>
              <w:bottom w:w="60" w:type="dxa"/>
              <w:right w:w="100" w:type="dxa"/>
            </w:tcMar>
            <w:vAlign w:val="center"/>
          </w:tcPr>
          <w:p w14:paraId="30445334" w14:textId="77777777" w:rsidR="005D2875" w:rsidRDefault="00B855E4" w:rsidP="0083082A">
            <w:pPr>
              <w:spacing w:before="40" w:after="40"/>
              <w:jc w:val="center"/>
            </w:pPr>
            <w:r>
              <w:rPr>
                <w:color w:val="000000"/>
                <w:sz w:val="20"/>
                <w:szCs w:val="20"/>
              </w:rPr>
              <w:t>基本准确</w:t>
            </w:r>
          </w:p>
        </w:tc>
        <w:tc>
          <w:tcPr>
            <w:tcW w:w="2421" w:type="dxa"/>
            <w:tcMar>
              <w:top w:w="60" w:type="dxa"/>
              <w:left w:w="100" w:type="dxa"/>
              <w:bottom w:w="60" w:type="dxa"/>
              <w:right w:w="100" w:type="dxa"/>
            </w:tcMar>
            <w:vAlign w:val="center"/>
          </w:tcPr>
          <w:p w14:paraId="4838CAFB" w14:textId="77777777" w:rsidR="005D2875" w:rsidRDefault="00B855E4" w:rsidP="0083082A">
            <w:pPr>
              <w:spacing w:before="40" w:after="40"/>
              <w:jc w:val="center"/>
            </w:pPr>
            <w:r>
              <w:rPr>
                <w:color w:val="000000"/>
                <w:sz w:val="20"/>
                <w:szCs w:val="20"/>
              </w:rPr>
              <w:t>与</w:t>
            </w:r>
            <w:r>
              <w:rPr>
                <w:color w:val="000000"/>
                <w:sz w:val="20"/>
                <w:szCs w:val="20"/>
              </w:rPr>
              <w:t xml:space="preserve"> PAKDD 2020 </w:t>
            </w:r>
            <w:r>
              <w:rPr>
                <w:color w:val="000000"/>
                <w:sz w:val="20"/>
                <w:szCs w:val="20"/>
              </w:rPr>
              <w:t>会议记录一致</w:t>
            </w:r>
          </w:p>
        </w:tc>
      </w:tr>
      <w:tr w:rsidR="005D2875" w14:paraId="2F5AD784" w14:textId="77777777" w:rsidTr="005253F0">
        <w:trPr>
          <w:trHeight w:val="614"/>
        </w:trPr>
        <w:tc>
          <w:tcPr>
            <w:tcW w:w="807" w:type="dxa"/>
            <w:shd w:val="clear" w:color="auto" w:fill="FFFFFF" w:themeFill="background1"/>
            <w:tcMar>
              <w:top w:w="60" w:type="dxa"/>
              <w:left w:w="100" w:type="dxa"/>
              <w:bottom w:w="60" w:type="dxa"/>
              <w:right w:w="100" w:type="dxa"/>
            </w:tcMar>
            <w:vAlign w:val="center"/>
          </w:tcPr>
          <w:p w14:paraId="519A6ECA" w14:textId="77777777" w:rsidR="005D2875" w:rsidRDefault="00B855E4" w:rsidP="0083082A">
            <w:pPr>
              <w:spacing w:before="40" w:after="40"/>
              <w:jc w:val="center"/>
            </w:pPr>
            <w:r>
              <w:rPr>
                <w:color w:val="000000"/>
                <w:sz w:val="20"/>
                <w:szCs w:val="20"/>
              </w:rPr>
              <w:t>T3</w:t>
            </w:r>
          </w:p>
        </w:tc>
        <w:tc>
          <w:tcPr>
            <w:tcW w:w="1524" w:type="dxa"/>
            <w:shd w:val="clear" w:color="auto" w:fill="FFFFFF" w:themeFill="background1"/>
            <w:tcMar>
              <w:top w:w="60" w:type="dxa"/>
              <w:left w:w="100" w:type="dxa"/>
              <w:bottom w:w="60" w:type="dxa"/>
              <w:right w:w="100" w:type="dxa"/>
            </w:tcMar>
            <w:vAlign w:val="center"/>
          </w:tcPr>
          <w:p w14:paraId="2C992C3A" w14:textId="77777777" w:rsidR="005D2875" w:rsidRDefault="00B855E4" w:rsidP="0083082A">
            <w:pPr>
              <w:spacing w:before="40" w:after="40"/>
              <w:jc w:val="center"/>
            </w:pPr>
            <w:r>
              <w:rPr>
                <w:color w:val="000000"/>
                <w:sz w:val="20"/>
                <w:szCs w:val="20"/>
              </w:rPr>
              <w:t>CAFE</w:t>
            </w:r>
          </w:p>
        </w:tc>
        <w:tc>
          <w:tcPr>
            <w:tcW w:w="2690" w:type="dxa"/>
            <w:shd w:val="clear" w:color="auto" w:fill="FFFFFF" w:themeFill="background1"/>
            <w:tcMar>
              <w:top w:w="60" w:type="dxa"/>
              <w:left w:w="100" w:type="dxa"/>
              <w:bottom w:w="60" w:type="dxa"/>
              <w:right w:w="100" w:type="dxa"/>
            </w:tcMar>
            <w:vAlign w:val="center"/>
          </w:tcPr>
          <w:p w14:paraId="0B4275AE" w14:textId="77777777" w:rsidR="005D2875" w:rsidRDefault="00B855E4" w:rsidP="0083082A">
            <w:pPr>
              <w:spacing w:before="40" w:after="40"/>
              <w:jc w:val="center"/>
            </w:pPr>
            <w:r>
              <w:rPr>
                <w:color w:val="000000"/>
                <w:sz w:val="20"/>
                <w:szCs w:val="20"/>
              </w:rPr>
              <w:t>Chen et al., 2022</w:t>
            </w:r>
          </w:p>
        </w:tc>
        <w:tc>
          <w:tcPr>
            <w:tcW w:w="1524" w:type="dxa"/>
            <w:shd w:val="clear" w:color="auto" w:fill="FFFFFF" w:themeFill="background1"/>
            <w:tcMar>
              <w:top w:w="60" w:type="dxa"/>
              <w:left w:w="100" w:type="dxa"/>
              <w:bottom w:w="60" w:type="dxa"/>
              <w:right w:w="100" w:type="dxa"/>
            </w:tcMar>
            <w:vAlign w:val="center"/>
          </w:tcPr>
          <w:p w14:paraId="0FA94811" w14:textId="77777777" w:rsidR="005D2875" w:rsidRDefault="00B855E4" w:rsidP="0083082A">
            <w:pPr>
              <w:spacing w:before="40" w:after="40"/>
              <w:jc w:val="center"/>
            </w:pPr>
            <w:r>
              <w:rPr>
                <w:color w:val="000000"/>
                <w:sz w:val="20"/>
                <w:szCs w:val="20"/>
              </w:rPr>
              <w:t>基本准确</w:t>
            </w:r>
          </w:p>
        </w:tc>
        <w:tc>
          <w:tcPr>
            <w:tcW w:w="2421" w:type="dxa"/>
            <w:shd w:val="clear" w:color="auto" w:fill="FFFFFF" w:themeFill="background1"/>
            <w:tcMar>
              <w:top w:w="60" w:type="dxa"/>
              <w:left w:w="100" w:type="dxa"/>
              <w:bottom w:w="60" w:type="dxa"/>
              <w:right w:w="100" w:type="dxa"/>
            </w:tcMar>
            <w:vAlign w:val="center"/>
          </w:tcPr>
          <w:p w14:paraId="6C3E5BF6" w14:textId="77777777" w:rsidR="005D2875" w:rsidRDefault="00B855E4" w:rsidP="0083082A">
            <w:pPr>
              <w:spacing w:before="40" w:after="40"/>
              <w:jc w:val="center"/>
            </w:pPr>
            <w:r>
              <w:rPr>
                <w:color w:val="000000"/>
                <w:sz w:val="20"/>
                <w:szCs w:val="20"/>
              </w:rPr>
              <w:t>本次未附会议名称，未重复出现</w:t>
            </w:r>
            <w:r>
              <w:rPr>
                <w:color w:val="000000"/>
                <w:sz w:val="20"/>
                <w:szCs w:val="20"/>
              </w:rPr>
              <w:t>venue</w:t>
            </w:r>
            <w:r>
              <w:rPr>
                <w:color w:val="000000"/>
                <w:sz w:val="20"/>
                <w:szCs w:val="20"/>
              </w:rPr>
              <w:t>错误</w:t>
            </w:r>
          </w:p>
        </w:tc>
      </w:tr>
    </w:tbl>
    <w:p w14:paraId="4B0AB333" w14:textId="5E48F628" w:rsidR="005D2875" w:rsidRDefault="00B855E4">
      <w:pPr>
        <w:spacing w:before="80" w:after="200"/>
        <w:jc w:val="left"/>
      </w:pPr>
      <w:r>
        <w:rPr>
          <w:i/>
          <w:iCs/>
          <w:color w:val="595959"/>
          <w:sz w:val="20"/>
          <w:szCs w:val="20"/>
        </w:rPr>
        <w:t>核验方法：</w:t>
      </w:r>
      <w:r>
        <w:rPr>
          <w:i/>
          <w:iCs/>
          <w:color w:val="595959"/>
          <w:sz w:val="20"/>
          <w:szCs w:val="20"/>
        </w:rPr>
        <w:t xml:space="preserve">Google </w:t>
      </w:r>
      <w:r>
        <w:rPr>
          <w:i/>
          <w:iCs/>
          <w:color w:val="595959"/>
          <w:sz w:val="20"/>
          <w:szCs w:val="20"/>
        </w:rPr>
        <w:t>学术检索</w:t>
      </w:r>
      <w:r>
        <w:rPr>
          <w:i/>
          <w:iCs/>
          <w:color w:val="595959"/>
          <w:sz w:val="20"/>
          <w:szCs w:val="20"/>
        </w:rPr>
        <w:t xml:space="preserve"> + </w:t>
      </w:r>
      <w:r>
        <w:rPr>
          <w:i/>
          <w:iCs/>
          <w:color w:val="595959"/>
          <w:sz w:val="20"/>
          <w:szCs w:val="20"/>
        </w:rPr>
        <w:t>出版方官网</w:t>
      </w:r>
      <w:r>
        <w:rPr>
          <w:i/>
          <w:iCs/>
          <w:color w:val="595959"/>
          <w:sz w:val="20"/>
          <w:szCs w:val="20"/>
        </w:rPr>
        <w:t xml:space="preserve">/DOI </w:t>
      </w:r>
      <w:r>
        <w:rPr>
          <w:i/>
          <w:iCs/>
          <w:color w:val="595959"/>
          <w:sz w:val="20"/>
          <w:szCs w:val="20"/>
        </w:rPr>
        <w:t>交叉验证。</w:t>
      </w:r>
    </w:p>
    <w:p w14:paraId="748999F8" w14:textId="34284679" w:rsidR="005D2875" w:rsidRDefault="00B855E4">
      <w:pPr>
        <w:spacing w:after="160" w:line="300" w:lineRule="auto"/>
        <w:ind w:firstLine="480"/>
      </w:pPr>
      <w:r>
        <w:t>上述核验结果呈现出一个较为一致的模式，本报告将其称为存在性正确、元数据漂移型幻觉：在</w:t>
      </w:r>
      <w:r>
        <w:t xml:space="preserve"> 8 </w:t>
      </w:r>
      <w:r>
        <w:t>处具名引用中，有</w:t>
      </w:r>
      <w:r>
        <w:t xml:space="preserve"> 5 </w:t>
      </w:r>
      <w:r>
        <w:t>处（</w:t>
      </w:r>
      <w:r>
        <w:t>62.5%</w:t>
      </w:r>
      <w:r>
        <w:t>）核心信息完全准确，</w:t>
      </w:r>
      <w:r>
        <w:t xml:space="preserve">2 </w:t>
      </w:r>
      <w:r>
        <w:t>处（</w:t>
      </w:r>
      <w:r>
        <w:t>25%</w:t>
      </w:r>
      <w:r>
        <w:t>）对应的论文确实存在、方法描述也大体准确，但会议名称或发表年份等外围元数据被替换为另一个同样真实、同样知名却并不对应的选项（</w:t>
      </w:r>
      <w:r>
        <w:t xml:space="preserve">CAFE </w:t>
      </w:r>
      <w:r>
        <w:t>的</w:t>
      </w:r>
      <w:r>
        <w:t xml:space="preserve"> venue </w:t>
      </w:r>
      <w:r>
        <w:t>从</w:t>
      </w:r>
      <w:r>
        <w:t xml:space="preserve"> WWW </w:t>
      </w:r>
      <w:r>
        <w:t>变成</w:t>
      </w:r>
      <w:r>
        <w:t xml:space="preserve"> CVPR</w:t>
      </w:r>
      <w:r>
        <w:t>，</w:t>
      </w:r>
      <w:r>
        <w:t xml:space="preserve">Debate-to-Detect </w:t>
      </w:r>
      <w:r>
        <w:t>的年份从</w:t>
      </w:r>
      <w:r>
        <w:t xml:space="preserve"> 2025 </w:t>
      </w:r>
      <w:r>
        <w:t>变成</w:t>
      </w:r>
      <w:r>
        <w:t xml:space="preserve"> 2026</w:t>
      </w:r>
      <w:r>
        <w:t>），还有</w:t>
      </w:r>
      <w:r>
        <w:t xml:space="preserve"> 1 </w:t>
      </w:r>
      <w:r>
        <w:t>处（</w:t>
      </w:r>
      <w:r>
        <w:t>12.5%</w:t>
      </w:r>
      <w:r>
        <w:t>）无法在公开检索中定位到精确匹配的文献，疑似是对某一类工作的泛化概括。这一模式与</w:t>
      </w:r>
      <w:r>
        <w:t xml:space="preserve"> DeepSeek </w:t>
      </w:r>
      <w:r>
        <w:t>组观察到的似真组合式幻觉高度相似，但更为精细</w:t>
      </w:r>
      <w:r w:rsidR="0083082A">
        <w:rPr>
          <w:rFonts w:hint="eastAsia"/>
        </w:rPr>
        <w:t>。</w:t>
      </w:r>
      <w:r w:rsidRPr="0083082A">
        <w:rPr>
          <w:b/>
          <w:bCs/>
          <w:color w:val="C00000"/>
        </w:rPr>
        <w:t xml:space="preserve">DeepSeek </w:t>
      </w:r>
      <w:r w:rsidRPr="0083082A">
        <w:rPr>
          <w:b/>
          <w:bCs/>
          <w:color w:val="C00000"/>
        </w:rPr>
        <w:t>组的错误往往表现为把一篇论文的会议归属完全张冠李戴到另一个不相关的期刊</w:t>
      </w:r>
      <w:r>
        <w:t>（如把发表于</w:t>
      </w:r>
      <w:r>
        <w:t xml:space="preserve"> ACM MM </w:t>
      </w:r>
      <w:r>
        <w:t>的</w:t>
      </w:r>
      <w:r>
        <w:t xml:space="preserve"> KMGCN </w:t>
      </w:r>
      <w:r>
        <w:t>标注为</w:t>
      </w:r>
      <w:r>
        <w:t xml:space="preserve"> IEEE TETCI</w:t>
      </w:r>
      <w:r>
        <w:t>），</w:t>
      </w:r>
      <w:r w:rsidRPr="0083082A">
        <w:rPr>
          <w:b/>
          <w:bCs/>
          <w:color w:val="C00000"/>
        </w:rPr>
        <w:t>而</w:t>
      </w:r>
      <w:r w:rsidRPr="0083082A">
        <w:rPr>
          <w:b/>
          <w:bCs/>
          <w:color w:val="C00000"/>
        </w:rPr>
        <w:t xml:space="preserve"> Gemini </w:t>
      </w:r>
      <w:r w:rsidRPr="0083082A">
        <w:rPr>
          <w:b/>
          <w:bCs/>
          <w:color w:val="C00000"/>
        </w:rPr>
        <w:t>深度思考模式的错误则更像是在真实存在的、相近的选项池中发生了细微错配</w:t>
      </w:r>
      <w:r w:rsidR="0083082A">
        <w:rPr>
          <w:rFonts w:hint="eastAsia"/>
        </w:rPr>
        <w:t>。</w:t>
      </w:r>
      <w:r>
        <w:t>这类错误恰恰因为大方向正确而更容易骗过缺乏专业背景的读者，核验难度也相应更高。此外值得强调的是，这些元数据错误均未被模型标注为</w:t>
      </w:r>
      <w:r>
        <w:t xml:space="preserve"> [</w:t>
      </w:r>
      <w:r>
        <w:t>不确定</w:t>
      </w:r>
      <w:r>
        <w:t>]</w:t>
      </w:r>
      <w:r>
        <w:t>，说明模型对这类细节的表述带有其自身无法察觉的虚假置信度，这也是本报告认为不确定性标注不能被当作幻觉风险的可靠护栏、仍需辅以外部核验的核心原因。</w:t>
      </w:r>
    </w:p>
    <w:p w14:paraId="5DE4B541" w14:textId="77777777" w:rsidR="005D2875" w:rsidRDefault="00B855E4">
      <w:pPr>
        <w:pStyle w:val="2"/>
      </w:pPr>
      <w:r>
        <w:lastRenderedPageBreak/>
        <w:t>3.5 本组小结</w:t>
      </w:r>
    </w:p>
    <w:p w14:paraId="2A0A69B0" w14:textId="70DD2A0E" w:rsidR="005D2875" w:rsidRDefault="00B855E4">
      <w:pPr>
        <w:spacing w:after="160" w:line="300" w:lineRule="auto"/>
        <w:ind w:firstLine="480"/>
      </w:pPr>
      <w:r>
        <w:t>整体而言，</w:t>
      </w:r>
      <w:r>
        <w:t>Gemini 3.1 Pro</w:t>
      </w:r>
      <w:r>
        <w:t>（深度思考模式）相对于</w:t>
      </w:r>
      <w:r>
        <w:t xml:space="preserve"> Gemini 3.5 Flash</w:t>
      </w:r>
      <w:r>
        <w:t>（普通模式），</w:t>
      </w:r>
      <w:r w:rsidRPr="0083082A">
        <w:rPr>
          <w:b/>
          <w:bCs/>
        </w:rPr>
        <w:t>在三道任务中都展现出更强的结构化能力、更高的具名引用密度，以及在方法对比与研究设计任务中更突出的公式化</w:t>
      </w:r>
      <w:r w:rsidRPr="0083082A">
        <w:rPr>
          <w:b/>
          <w:bCs/>
        </w:rPr>
        <w:t>/</w:t>
      </w:r>
      <w:r w:rsidRPr="0083082A">
        <w:rPr>
          <w:b/>
          <w:bCs/>
        </w:rPr>
        <w:t>指标体系化能力</w:t>
      </w:r>
      <w:r>
        <w:t>，这与</w:t>
      </w:r>
      <w:r>
        <w:t xml:space="preserve"> DeepSeek </w:t>
      </w:r>
      <w:r>
        <w:t>组观察到的思考模式增益方向高度一致。但与</w:t>
      </w:r>
      <w:r>
        <w:t xml:space="preserve"> DeepSeek </w:t>
      </w:r>
      <w:r>
        <w:t>组不同的是，</w:t>
      </w:r>
      <w:r w:rsidRPr="0083082A">
        <w:rPr>
          <w:b/>
          <w:bCs/>
        </w:rPr>
        <w:t xml:space="preserve">Gemini </w:t>
      </w:r>
      <w:r w:rsidRPr="0083082A">
        <w:rPr>
          <w:b/>
          <w:bCs/>
        </w:rPr>
        <w:t>组的篇幅膨胀幅度相对温和</w:t>
      </w:r>
      <w:r>
        <w:t>（约</w:t>
      </w:r>
      <w:r>
        <w:t xml:space="preserve"> 1.29 </w:t>
      </w:r>
      <w:r>
        <w:t>倍而非近</w:t>
      </w:r>
      <w:r>
        <w:t xml:space="preserve"> 2 </w:t>
      </w:r>
      <w:r>
        <w:t>倍），且深度思考模式给出的引用中，绝大多数（</w:t>
      </w:r>
      <w:r>
        <w:t>62.5%</w:t>
      </w:r>
      <w:r>
        <w:t>）核心信息经核验是准确的，另有</w:t>
      </w:r>
      <w:r>
        <w:t xml:space="preserve"> 25% </w:t>
      </w:r>
      <w:r>
        <w:t>属于核心真实、细节漂移型错误，仅</w:t>
      </w:r>
      <w:r>
        <w:t xml:space="preserve"> 12.5% </w:t>
      </w:r>
      <w:r>
        <w:t>存疑无法定位</w:t>
      </w:r>
      <w:r>
        <w:t>——</w:t>
      </w:r>
      <w:r>
        <w:t>这一核验结果提示，至少在本次实验涉及的知识范围内，</w:t>
      </w:r>
      <w:r>
        <w:t xml:space="preserve">Gemini </w:t>
      </w:r>
      <w:r>
        <w:t>深度思考模式给出具体学术引用的整体可信度并不算低，但并不算低仍然意味着接近四分之一的引用存在需要读者自行发现的细节性错误，因此完全脱离人工核验仍然是不可取的。</w:t>
      </w:r>
    </w:p>
    <w:p w14:paraId="03662D89" w14:textId="2B43A56C" w:rsidR="00D328A7" w:rsidRDefault="00D328A7" w:rsidP="00D328A7">
      <w:pPr>
        <w:pStyle w:val="1"/>
      </w:pPr>
      <w:r w:rsidRPr="00D328A7">
        <w:rPr>
          <w:rFonts w:hint="eastAsia"/>
        </w:rPr>
        <w:t>四、跨模型统一比较：思考模式与非思考模式的共性与差异</w:t>
      </w:r>
    </w:p>
    <w:p w14:paraId="5110C6CE" w14:textId="432BD3B9" w:rsidR="005D2875" w:rsidRDefault="00B855E4">
      <w:pPr>
        <w:pStyle w:val="2"/>
      </w:pPr>
      <w:r>
        <w:t>4.1 方法学差异声明</w:t>
      </w:r>
    </w:p>
    <w:p w14:paraId="0BA7A495" w14:textId="7D174F2D" w:rsidR="005D2875" w:rsidRDefault="00B855E4">
      <w:pPr>
        <w:spacing w:after="160" w:line="300" w:lineRule="auto"/>
        <w:ind w:firstLine="480"/>
      </w:pPr>
      <w:r>
        <w:t>在展开跨模型比较之前，有必要再次重申两组实验在方法学上的差异。</w:t>
      </w:r>
      <w:r>
        <w:t xml:space="preserve">DeepSeek </w:t>
      </w:r>
      <w:r>
        <w:t>组是同一模型在思考链开关这一单一变量上的严格对照实验，其耗时、</w:t>
      </w:r>
      <w:r>
        <w:t xml:space="preserve">token </w:t>
      </w:r>
      <w:r>
        <w:t>数等指标由</w:t>
      </w:r>
      <w:r>
        <w:t xml:space="preserve"> API </w:t>
      </w:r>
      <w:r>
        <w:t>直接返回，精确可靠；</w:t>
      </w:r>
      <w:r>
        <w:t xml:space="preserve">Gemini </w:t>
      </w:r>
      <w:r>
        <w:t>组则是两个独立训练、定位不同的模型（旗舰级深度思考模型与轻量级非思考模型）之间的比较，其输出长度等指标是基于文本内容人工统计得到的代理指标，并非</w:t>
      </w:r>
      <w:r>
        <w:t xml:space="preserve"> API </w:t>
      </w:r>
      <w:r>
        <w:t>原生数据，二者观察到的差异中也混杂了模型规模、训练目标等</w:t>
      </w:r>
      <w:r>
        <w:t xml:space="preserve"> DeepSeek </w:t>
      </w:r>
      <w:r>
        <w:t>组不存在的额外变量。</w:t>
      </w:r>
    </w:p>
    <w:p w14:paraId="39619024" w14:textId="77777777" w:rsidR="005D2875" w:rsidRDefault="00B855E4">
      <w:pPr>
        <w:pStyle w:val="2"/>
      </w:pPr>
      <w:r>
        <w:t>4.2 两模型思考模式的共性特征</w:t>
      </w:r>
    </w:p>
    <w:p w14:paraId="3B5054EC" w14:textId="77777777" w:rsidR="00314CE0" w:rsidRDefault="00B855E4">
      <w:pPr>
        <w:spacing w:after="160" w:line="300" w:lineRule="auto"/>
        <w:ind w:firstLine="480"/>
      </w:pPr>
      <w:r>
        <w:t>尽管</w:t>
      </w:r>
      <w:r>
        <w:t xml:space="preserve"> DeepSeek-V4-Pro </w:t>
      </w:r>
      <w:r>
        <w:t>与</w:t>
      </w:r>
      <w:r>
        <w:t xml:space="preserve"> Gemini 3.1 Pro </w:t>
      </w:r>
      <w:r>
        <w:t>分属不同厂商、不同技术路线，但二者的深度思考模式在本次实验中表现出了若干高度一致的共性。</w:t>
      </w:r>
    </w:p>
    <w:p w14:paraId="413899DE" w14:textId="77777777" w:rsidR="00314CE0" w:rsidRDefault="00B855E4">
      <w:pPr>
        <w:spacing w:after="160" w:line="300" w:lineRule="auto"/>
        <w:ind w:firstLine="480"/>
      </w:pPr>
      <w:r>
        <w:t>首先是输出</w:t>
      </w:r>
      <w:r w:rsidRPr="00314CE0">
        <w:rPr>
          <w:b/>
          <w:bCs/>
        </w:rPr>
        <w:t>结构化程度的普遍提升</w:t>
      </w:r>
      <w:r w:rsidR="00314CE0">
        <w:rPr>
          <w:rFonts w:hint="eastAsia"/>
        </w:rPr>
        <w:t>，</w:t>
      </w:r>
      <w:r>
        <w:t>两个模型的深度思考版本都会在回答中引入更清晰的分级标题、更完整的对比表格，并主动补充公式或符号级别的技术细节</w:t>
      </w:r>
      <w:r w:rsidR="00314CE0">
        <w:rPr>
          <w:rFonts w:hint="eastAsia"/>
        </w:rPr>
        <w:t>。</w:t>
      </w:r>
      <w:r>
        <w:t xml:space="preserve">DeepSeek </w:t>
      </w:r>
      <w:r>
        <w:t>对</w:t>
      </w:r>
      <w:r>
        <w:t xml:space="preserve"> MVAE </w:t>
      </w:r>
      <w:r>
        <w:t>的编码器与损失函数进行了公式级描述，</w:t>
      </w:r>
      <w:r>
        <w:t xml:space="preserve">Gemini </w:t>
      </w:r>
      <w:r>
        <w:t>则直接展开了</w:t>
      </w:r>
      <w:r>
        <w:t xml:space="preserve"> ELBO </w:t>
      </w:r>
      <w:r>
        <w:t>证据下界的具体表达式并给出了复杂度符号推导，二者殊途同归。</w:t>
      </w:r>
    </w:p>
    <w:p w14:paraId="3FB6B49B" w14:textId="77777777" w:rsidR="00314CE0" w:rsidRDefault="00B855E4">
      <w:pPr>
        <w:spacing w:after="160" w:line="300" w:lineRule="auto"/>
        <w:ind w:firstLine="480"/>
      </w:pPr>
      <w:r>
        <w:t>其次是</w:t>
      </w:r>
      <w:r w:rsidRPr="00314CE0">
        <w:rPr>
          <w:b/>
          <w:bCs/>
        </w:rPr>
        <w:t>引用密度的显著提升</w:t>
      </w:r>
      <w:r>
        <w:t>：</w:t>
      </w:r>
      <w:r>
        <w:t xml:space="preserve">DeepSeek </w:t>
      </w:r>
      <w:r>
        <w:t>思考模式在综述任务中调用了</w:t>
      </w:r>
      <w:r>
        <w:t xml:space="preserve"> COSMOS 2023</w:t>
      </w:r>
      <w:r>
        <w:t>、</w:t>
      </w:r>
      <w:r>
        <w:t xml:space="preserve">CAML 2022 </w:t>
      </w:r>
      <w:r>
        <w:t>等更新近的工作，</w:t>
      </w:r>
      <w:r>
        <w:t xml:space="preserve">Gemini </w:t>
      </w:r>
      <w:r>
        <w:t>思考模式则给出了</w:t>
      </w:r>
      <w:r>
        <w:t xml:space="preserve"> CAFE</w:t>
      </w:r>
      <w:r>
        <w:t>、</w:t>
      </w:r>
      <w:r>
        <w:t>MVAE</w:t>
      </w:r>
      <w:r>
        <w:t>、</w:t>
      </w:r>
      <w:r>
        <w:t>MERF</w:t>
      </w:r>
      <w:r>
        <w:t>、</w:t>
      </w:r>
      <w:r>
        <w:t xml:space="preserve">Debate-to-Detect </w:t>
      </w:r>
      <w:r>
        <w:t>等一系列附带年份</w:t>
      </w:r>
      <w:r>
        <w:t>/</w:t>
      </w:r>
      <w:r>
        <w:t>会议信息的引用</w:t>
      </w:r>
      <w:r w:rsidR="00314CE0">
        <w:rPr>
          <w:rFonts w:hint="eastAsia"/>
        </w:rPr>
        <w:t>，</w:t>
      </w:r>
      <w:r>
        <w:t>两个模型都倾向于用言之有据的方式增强回答在外观上的学术可信度，即便这种据本身并不总是完全准确。</w:t>
      </w:r>
    </w:p>
    <w:p w14:paraId="205A7698" w14:textId="77777777" w:rsidR="00314CE0" w:rsidRDefault="00B855E4">
      <w:pPr>
        <w:spacing w:after="160" w:line="300" w:lineRule="auto"/>
        <w:ind w:firstLine="480"/>
      </w:pPr>
      <w:r>
        <w:t>第三是</w:t>
      </w:r>
      <w:r w:rsidRPr="00314CE0">
        <w:rPr>
          <w:b/>
          <w:bCs/>
        </w:rPr>
        <w:t>任务针对性指标设计能力的提升</w:t>
      </w:r>
      <w:r w:rsidR="00314CE0">
        <w:rPr>
          <w:rFonts w:hint="eastAsia"/>
        </w:rPr>
        <w:t>。</w:t>
      </w:r>
      <w:r>
        <w:t>在</w:t>
      </w:r>
      <w:r>
        <w:t xml:space="preserve"> T3 </w:t>
      </w:r>
      <w:r>
        <w:t>研究设计任务中，两个模型的深度思考版本都专门设计出了普通模式完全未涉及的、针对大模型作为检测器这一元问题定制的评估维度</w:t>
      </w:r>
      <w:r>
        <w:t xml:space="preserve">——DeepSeek </w:t>
      </w:r>
      <w:r>
        <w:t>增加了公平性指标与选择性预测</w:t>
      </w:r>
      <w:r>
        <w:t xml:space="preserve"> AUROC</w:t>
      </w:r>
      <w:r>
        <w:t>，</w:t>
      </w:r>
      <w:r>
        <w:t xml:space="preserve">Gemini </w:t>
      </w:r>
      <w:r>
        <w:t>则增加了拒答与格式错误率（</w:t>
      </w:r>
      <w:r>
        <w:t>AMR</w:t>
      </w:r>
      <w:r>
        <w:t>）、基于</w:t>
      </w:r>
      <w:r>
        <w:t xml:space="preserve"> Cohen's Kappa </w:t>
      </w:r>
      <w:r>
        <w:t>的提示词敏感度等指标，这体现出两个模型在深度思考状态下</w:t>
      </w:r>
      <w:r>
        <w:lastRenderedPageBreak/>
        <w:t>都能够跳出套用常规分类指标的惯性，识别出评估对象本身（</w:t>
      </w:r>
      <w:r>
        <w:t xml:space="preserve">LLM </w:t>
      </w:r>
      <w:r>
        <w:t>而非传统分类器）所带来的特殊评估需求。</w:t>
      </w:r>
    </w:p>
    <w:p w14:paraId="6EE38EC4" w14:textId="10678DAE" w:rsidR="005D2875" w:rsidRDefault="00B855E4">
      <w:pPr>
        <w:spacing w:after="160" w:line="300" w:lineRule="auto"/>
        <w:ind w:firstLine="480"/>
      </w:pPr>
      <w:r>
        <w:t>最后，</w:t>
      </w:r>
      <w:r w:rsidRPr="00314CE0">
        <w:rPr>
          <w:b/>
          <w:bCs/>
        </w:rPr>
        <w:t>两个模型的思考模式都伴随着更高的资源开销</w:t>
      </w:r>
      <w:r w:rsidR="00314CE0">
        <w:rPr>
          <w:rFonts w:hint="eastAsia"/>
        </w:rPr>
        <w:t>。</w:t>
      </w:r>
      <w:r>
        <w:t xml:space="preserve">DeepSeek </w:t>
      </w:r>
      <w:r>
        <w:t>体现为响应时间约</w:t>
      </w:r>
      <w:r>
        <w:t xml:space="preserve"> 1.8 </w:t>
      </w:r>
      <w:r>
        <w:t>倍、输出</w:t>
      </w:r>
      <w:r>
        <w:t xml:space="preserve"> token </w:t>
      </w:r>
      <w:r>
        <w:t>约</w:t>
      </w:r>
      <w:r>
        <w:t xml:space="preserve"> 1.96 </w:t>
      </w:r>
      <w:r>
        <w:t>倍，</w:t>
      </w:r>
      <w:r>
        <w:t xml:space="preserve">Gemini </w:t>
      </w:r>
      <w:r>
        <w:t>体现为输出篇幅约</w:t>
      </w:r>
      <w:r>
        <w:t xml:space="preserve"> 1.29 </w:t>
      </w:r>
      <w:r>
        <w:t>倍</w:t>
      </w:r>
      <w:r w:rsidR="00314CE0">
        <w:rPr>
          <w:rFonts w:hint="eastAsia"/>
        </w:rPr>
        <w:t>，</w:t>
      </w:r>
      <w:r>
        <w:t>尽管具体幅度不同，但方向完全一致，说明深度思考带来更高成本这一权衡在不同模型家族中普遍存在，是选择是否启用思考模式时必须纳入考量的共同因素。</w:t>
      </w:r>
    </w:p>
    <w:p w14:paraId="2AE8DF4E" w14:textId="77777777" w:rsidR="005D2875" w:rsidRDefault="00B855E4">
      <w:pPr>
        <w:pStyle w:val="2"/>
      </w:pPr>
      <w:r>
        <w:t>4.3 两模型非思考/普通模式的共性特征</w:t>
      </w:r>
    </w:p>
    <w:p w14:paraId="432CDBE9" w14:textId="77777777" w:rsidR="00314CE0" w:rsidRDefault="00B855E4">
      <w:pPr>
        <w:spacing w:after="160" w:line="300" w:lineRule="auto"/>
        <w:ind w:firstLine="480"/>
      </w:pPr>
      <w:r>
        <w:t>两个模型的普通模式同样呈现出若干共性。</w:t>
      </w:r>
    </w:p>
    <w:p w14:paraId="42CB6E9B" w14:textId="119EBE11" w:rsidR="005D2875" w:rsidRDefault="00B855E4">
      <w:pPr>
        <w:spacing w:after="160" w:line="300" w:lineRule="auto"/>
        <w:ind w:firstLine="480"/>
      </w:pPr>
      <w:r>
        <w:t>第一，回答依然保持了结构完整、遵循任务要求的多维度框架</w:t>
      </w:r>
      <w:r>
        <w:t>——</w:t>
      </w:r>
      <w:r>
        <w:t>即便没有显式思考链，</w:t>
      </w:r>
      <w:r>
        <w:t xml:space="preserve">DeepSeek </w:t>
      </w:r>
      <w:r>
        <w:t>普通模式与</w:t>
      </w:r>
      <w:r>
        <w:t xml:space="preserve"> Gemini 3.5 Flash </w:t>
      </w:r>
      <w:r>
        <w:t>都能准确地按三个维度分别展开表格</w:t>
      </w:r>
      <w:r>
        <w:t>+</w:t>
      </w:r>
      <w:r>
        <w:t>文字说明等格式要求组织内容，说明这种结构化能力很大程度上并不依赖显式思考过程，而更多来自模型的预训练与指令微调阶段。第二，</w:t>
      </w:r>
      <w:r w:rsidRPr="00314CE0">
        <w:rPr>
          <w:b/>
          <w:bCs/>
        </w:rPr>
        <w:t>两个模型的普通模式在</w:t>
      </w:r>
      <w:r w:rsidR="00314CE0" w:rsidRPr="00314CE0">
        <w:rPr>
          <w:rFonts w:hint="eastAsia"/>
          <w:b/>
          <w:bCs/>
        </w:rPr>
        <w:t>文献</w:t>
      </w:r>
      <w:r w:rsidRPr="00314CE0">
        <w:rPr>
          <w:b/>
          <w:bCs/>
        </w:rPr>
        <w:t>引用上都明显更保守</w:t>
      </w:r>
      <w:r w:rsidR="00314CE0">
        <w:rPr>
          <w:rFonts w:hint="eastAsia"/>
        </w:rPr>
        <w:t>。</w:t>
      </w:r>
      <w:r>
        <w:t xml:space="preserve">DeepSeek </w:t>
      </w:r>
      <w:r>
        <w:t>普通模式虽然仍会给出引用列表，但常见问题是列出了引用却在年份</w:t>
      </w:r>
      <w:r>
        <w:t xml:space="preserve">/venue </w:t>
      </w:r>
      <w:r>
        <w:t>上出错；</w:t>
      </w:r>
      <w:r>
        <w:t xml:space="preserve">Gemini 3.5 Flash </w:t>
      </w:r>
      <w:r>
        <w:t>则更进一步，在三道题目中全程没有出现一次完整的作者</w:t>
      </w:r>
      <w:r>
        <w:t>+</w:t>
      </w:r>
      <w:r>
        <w:t>年份格式引用，转而使用</w:t>
      </w:r>
      <w:r>
        <w:t xml:space="preserve">MDFEND / VAE-based </w:t>
      </w:r>
      <w:r>
        <w:t>表征解耦</w:t>
      </w:r>
      <w:r>
        <w:t xml:space="preserve">MAD </w:t>
      </w:r>
      <w:r>
        <w:t>框架这类不指向具体论文的泛化方法论名称。第三，两个模型的普通模式在不确定性标注的使用上都相对稀疏，符合越保守的回答，越少触发不确定性标注需求的直觉。第四，也是本次实验观察到的一个值得关注的模型间差异（将在</w:t>
      </w:r>
      <w:r>
        <w:t xml:space="preserve"> 4.4 </w:t>
      </w:r>
      <w:r>
        <w:t>节详述）：面对不知道确切细节的情况时，</w:t>
      </w:r>
      <w:r>
        <w:t xml:space="preserve">DeepSeek </w:t>
      </w:r>
      <w:r>
        <w:t>更倾向于仍然生成一个看似合理的具体引用，而</w:t>
      </w:r>
      <w:r>
        <w:t xml:space="preserve"> Gemini-Flash </w:t>
      </w:r>
      <w:r>
        <w:t>则更倾向于完全回避可核实的具体断言，转而使用概念性描述，但也相应牺牲了内容的可验证性与可供进一步查证的学术含金量。</w:t>
      </w:r>
    </w:p>
    <w:p w14:paraId="115EFDCA" w14:textId="77777777" w:rsidR="005D2875" w:rsidRDefault="00B855E4">
      <w:pPr>
        <w:pStyle w:val="2"/>
      </w:pPr>
      <w:r>
        <w:t>4.4 模型间的差异性观察</w:t>
      </w:r>
    </w:p>
    <w:p w14:paraId="043ADAD2" w14:textId="4BBED5C2" w:rsidR="005D2875" w:rsidRDefault="00B855E4">
      <w:pPr>
        <w:spacing w:after="160" w:line="300" w:lineRule="auto"/>
        <w:ind w:firstLine="480"/>
      </w:pPr>
      <w:r>
        <w:t>除上述共性之外，两组实验也呈现出若干值得单独讨论的模型间差异。</w:t>
      </w:r>
      <w:r w:rsidRPr="00314CE0">
        <w:rPr>
          <w:b/>
          <w:bCs/>
        </w:rPr>
        <w:t>第一是思考模式的膨胀幅度不同</w:t>
      </w:r>
      <w:r w:rsidR="00314CE0">
        <w:rPr>
          <w:rFonts w:hint="eastAsia"/>
        </w:rPr>
        <w:t>。</w:t>
      </w:r>
      <w:r>
        <w:t xml:space="preserve">DeepSeek </w:t>
      </w:r>
      <w:r>
        <w:t>思考</w:t>
      </w:r>
      <w:r>
        <w:t>/</w:t>
      </w:r>
      <w:r>
        <w:t>普通模式的输出</w:t>
      </w:r>
      <w:r>
        <w:t xml:space="preserve"> token </w:t>
      </w:r>
      <w:r>
        <w:t>比值接近</w:t>
      </w:r>
      <w:r>
        <w:t xml:space="preserve"> 2 </w:t>
      </w:r>
      <w:r>
        <w:t>倍，且三道题目均保持思考模式更长；而</w:t>
      </w:r>
      <w:r>
        <w:t xml:space="preserve"> Gemini </w:t>
      </w:r>
      <w:r>
        <w:t>组该比值仅约</w:t>
      </w:r>
      <w:r>
        <w:t xml:space="preserve"> 1.3 </w:t>
      </w:r>
      <w:r>
        <w:t>倍，且在</w:t>
      </w:r>
      <w:r>
        <w:t xml:space="preserve"> T1 </w:t>
      </w:r>
      <w:r>
        <w:t>题目上思考模式的输出甚至略短于普通模式。这说明不能想当然地认为思考模式必然带来成倍的输出增长，其具体幅度受模型自身的生成策略、是否存在明确的篇幅控制训练目标等因素影响，需要针对具体模型实测，而非直接套用其他模型的经验数字。</w:t>
      </w:r>
      <w:r w:rsidRPr="00314CE0">
        <w:rPr>
          <w:b/>
          <w:bCs/>
        </w:rPr>
        <w:t>第二是引用错误的具体模式不同</w:t>
      </w:r>
      <w:r w:rsidR="00314CE0">
        <w:rPr>
          <w:rFonts w:hint="eastAsia"/>
        </w:rPr>
        <w:t>。</w:t>
      </w:r>
      <w:r>
        <w:t xml:space="preserve">DeepSeek </w:t>
      </w:r>
      <w:r>
        <w:t>在综述题中出现的引用错误更偏向会议归属完全张冠李戴，即把一篇论文的发表</w:t>
      </w:r>
      <w:r>
        <w:t>venue</w:t>
      </w:r>
      <w:r>
        <w:t>替换为一个完全不相关的期刊或会议（如把发表于</w:t>
      </w:r>
      <w:r>
        <w:t xml:space="preserve"> ACM MM </w:t>
      </w:r>
      <w:r>
        <w:t>的工作标注为</w:t>
      </w:r>
      <w:r>
        <w:t xml:space="preserve"> IEEE TETCI</w:t>
      </w:r>
      <w:r>
        <w:t>）；而</w:t>
      </w:r>
      <w:r>
        <w:t xml:space="preserve"> Gemini </w:t>
      </w:r>
      <w:r>
        <w:t>思考模式的错误则更偏向核心文献真实存在，但年份或</w:t>
      </w:r>
      <w:r>
        <w:t>venue</w:t>
      </w:r>
      <w:r>
        <w:t>在若干个真实、相近的选项之间发生了细微漂移（如把</w:t>
      </w:r>
      <w:r>
        <w:t xml:space="preserve"> WWW 2022 </w:t>
      </w:r>
      <w:r>
        <w:t>误标为</w:t>
      </w:r>
      <w:r>
        <w:t xml:space="preserve"> CVPR 2022</w:t>
      </w:r>
      <w:r>
        <w:t>，把</w:t>
      </w:r>
      <w:r>
        <w:t xml:space="preserve"> 2025 </w:t>
      </w:r>
      <w:r>
        <w:t>年的论文误标为</w:t>
      </w:r>
      <w:r>
        <w:t xml:space="preserve"> 2026 </w:t>
      </w:r>
      <w:r>
        <w:t>年）。这提示</w:t>
      </w:r>
      <w:r w:rsidRPr="00314CE0">
        <w:rPr>
          <w:b/>
          <w:bCs/>
        </w:rPr>
        <w:t>对不同模型的输出进行人工核验时，应采取的核查侧重点也有所不同</w:t>
      </w:r>
      <w:r w:rsidR="00314CE0">
        <w:rPr>
          <w:rFonts w:hint="eastAsia"/>
        </w:rPr>
        <w:t>。</w:t>
      </w:r>
      <w:r>
        <w:t>面对</w:t>
      </w:r>
      <w:r>
        <w:t xml:space="preserve"> DeepSeek </w:t>
      </w:r>
      <w:r>
        <w:t>时应重点核查引用的期刊</w:t>
      </w:r>
      <w:r>
        <w:t>/</w:t>
      </w:r>
      <w:r>
        <w:t>会议归属是否合理，面对</w:t>
      </w:r>
      <w:r>
        <w:t xml:space="preserve"> Gemini </w:t>
      </w:r>
      <w:r>
        <w:t>思考模式时则应重点核查年份与会议缩写等精确细节，二者的错误性质不同，核验策略也应随之调整。</w:t>
      </w:r>
    </w:p>
    <w:p w14:paraId="60E952C0" w14:textId="77777777" w:rsidR="005D2875" w:rsidRDefault="00B855E4">
      <w:pPr>
        <w:pStyle w:val="2"/>
      </w:pPr>
      <w:r>
        <w:lastRenderedPageBreak/>
        <w:t>4.5 综合结论表格</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900"/>
        <w:gridCol w:w="2700"/>
      </w:tblGrid>
      <w:tr w:rsidR="005D2875" w14:paraId="3F501BFE" w14:textId="77777777" w:rsidTr="005253F0">
        <w:trPr>
          <w:tblHeader/>
        </w:trPr>
        <w:tc>
          <w:tcPr>
            <w:tcW w:w="1600" w:type="dxa"/>
            <w:shd w:val="clear" w:color="auto" w:fill="000000" w:themeFill="text1"/>
            <w:tcMar>
              <w:top w:w="60" w:type="dxa"/>
              <w:left w:w="100" w:type="dxa"/>
              <w:bottom w:w="60" w:type="dxa"/>
              <w:right w:w="100" w:type="dxa"/>
            </w:tcMar>
            <w:vAlign w:val="center"/>
          </w:tcPr>
          <w:p w14:paraId="72186CE2" w14:textId="77777777" w:rsidR="005D2875" w:rsidRPr="00646B8B" w:rsidRDefault="00B855E4" w:rsidP="00314CE0">
            <w:pPr>
              <w:spacing w:before="40" w:after="40"/>
              <w:jc w:val="center"/>
              <w:rPr>
                <w:b/>
                <w:bCs/>
              </w:rPr>
            </w:pPr>
            <w:r w:rsidRPr="00646B8B">
              <w:rPr>
                <w:b/>
                <w:bCs/>
                <w:color w:val="FFFFFF"/>
                <w:sz w:val="20"/>
                <w:szCs w:val="20"/>
              </w:rPr>
              <w:t>维度</w:t>
            </w:r>
          </w:p>
        </w:tc>
        <w:tc>
          <w:tcPr>
            <w:tcW w:w="2800" w:type="dxa"/>
            <w:shd w:val="clear" w:color="auto" w:fill="000000" w:themeFill="text1"/>
            <w:tcMar>
              <w:top w:w="60" w:type="dxa"/>
              <w:left w:w="100" w:type="dxa"/>
              <w:bottom w:w="60" w:type="dxa"/>
              <w:right w:w="100" w:type="dxa"/>
            </w:tcMar>
            <w:vAlign w:val="center"/>
          </w:tcPr>
          <w:p w14:paraId="2E1611D7" w14:textId="77777777" w:rsidR="005D2875" w:rsidRPr="00646B8B" w:rsidRDefault="00B855E4" w:rsidP="00314CE0">
            <w:pPr>
              <w:spacing w:before="40" w:after="40"/>
              <w:jc w:val="center"/>
              <w:rPr>
                <w:b/>
                <w:bCs/>
              </w:rPr>
            </w:pPr>
            <w:r w:rsidRPr="00646B8B">
              <w:rPr>
                <w:b/>
                <w:bCs/>
                <w:color w:val="FFFFFF"/>
                <w:sz w:val="20"/>
                <w:szCs w:val="20"/>
              </w:rPr>
              <w:t>DeepSeek-V4-Pro</w:t>
            </w:r>
            <w:r w:rsidRPr="00646B8B">
              <w:rPr>
                <w:b/>
                <w:bCs/>
                <w:color w:val="FFFFFF"/>
                <w:sz w:val="20"/>
                <w:szCs w:val="20"/>
              </w:rPr>
              <w:t>（思考</w:t>
            </w:r>
            <w:r w:rsidRPr="00646B8B">
              <w:rPr>
                <w:b/>
                <w:bCs/>
                <w:color w:val="FFFFFF"/>
                <w:sz w:val="20"/>
                <w:szCs w:val="20"/>
              </w:rPr>
              <w:t xml:space="preserve"> vs </w:t>
            </w:r>
            <w:r w:rsidRPr="00646B8B">
              <w:rPr>
                <w:b/>
                <w:bCs/>
                <w:color w:val="FFFFFF"/>
                <w:sz w:val="20"/>
                <w:szCs w:val="20"/>
              </w:rPr>
              <w:t>普通）</w:t>
            </w:r>
          </w:p>
        </w:tc>
        <w:tc>
          <w:tcPr>
            <w:tcW w:w="2900" w:type="dxa"/>
            <w:shd w:val="clear" w:color="auto" w:fill="000000" w:themeFill="text1"/>
            <w:tcMar>
              <w:top w:w="60" w:type="dxa"/>
              <w:left w:w="100" w:type="dxa"/>
              <w:bottom w:w="60" w:type="dxa"/>
              <w:right w:w="100" w:type="dxa"/>
            </w:tcMar>
            <w:vAlign w:val="center"/>
          </w:tcPr>
          <w:p w14:paraId="1FB722C6" w14:textId="77777777" w:rsidR="005D2875" w:rsidRPr="00646B8B" w:rsidRDefault="00B855E4" w:rsidP="00314CE0">
            <w:pPr>
              <w:spacing w:before="40" w:after="40"/>
              <w:jc w:val="center"/>
              <w:rPr>
                <w:b/>
                <w:bCs/>
              </w:rPr>
            </w:pPr>
            <w:r w:rsidRPr="00646B8B">
              <w:rPr>
                <w:b/>
                <w:bCs/>
                <w:color w:val="FFFFFF"/>
                <w:sz w:val="20"/>
                <w:szCs w:val="20"/>
              </w:rPr>
              <w:t>Gemini 3.1 Pro vs 3.5 Flash</w:t>
            </w:r>
            <w:r w:rsidRPr="00646B8B">
              <w:rPr>
                <w:b/>
                <w:bCs/>
                <w:color w:val="FFFFFF"/>
                <w:sz w:val="20"/>
                <w:szCs w:val="20"/>
              </w:rPr>
              <w:t>（思考</w:t>
            </w:r>
            <w:r w:rsidRPr="00646B8B">
              <w:rPr>
                <w:b/>
                <w:bCs/>
                <w:color w:val="FFFFFF"/>
                <w:sz w:val="20"/>
                <w:szCs w:val="20"/>
              </w:rPr>
              <w:t xml:space="preserve"> vs </w:t>
            </w:r>
            <w:r w:rsidRPr="00646B8B">
              <w:rPr>
                <w:b/>
                <w:bCs/>
                <w:color w:val="FFFFFF"/>
                <w:sz w:val="20"/>
                <w:szCs w:val="20"/>
              </w:rPr>
              <w:t>非思考）</w:t>
            </w:r>
          </w:p>
        </w:tc>
        <w:tc>
          <w:tcPr>
            <w:tcW w:w="2700" w:type="dxa"/>
            <w:shd w:val="clear" w:color="auto" w:fill="000000" w:themeFill="text1"/>
            <w:tcMar>
              <w:top w:w="60" w:type="dxa"/>
              <w:left w:w="100" w:type="dxa"/>
              <w:bottom w:w="60" w:type="dxa"/>
              <w:right w:w="100" w:type="dxa"/>
            </w:tcMar>
            <w:vAlign w:val="center"/>
          </w:tcPr>
          <w:p w14:paraId="4FBDCC36" w14:textId="77777777" w:rsidR="005D2875" w:rsidRPr="00646B8B" w:rsidRDefault="00B855E4" w:rsidP="00314CE0">
            <w:pPr>
              <w:spacing w:before="40" w:after="40"/>
              <w:jc w:val="center"/>
              <w:rPr>
                <w:b/>
                <w:bCs/>
              </w:rPr>
            </w:pPr>
            <w:r w:rsidRPr="00646B8B">
              <w:rPr>
                <w:b/>
                <w:bCs/>
                <w:color w:val="FFFFFF"/>
                <w:sz w:val="20"/>
                <w:szCs w:val="20"/>
              </w:rPr>
              <w:t>共性</w:t>
            </w:r>
            <w:r w:rsidRPr="00646B8B">
              <w:rPr>
                <w:b/>
                <w:bCs/>
                <w:color w:val="FFFFFF"/>
                <w:sz w:val="20"/>
                <w:szCs w:val="20"/>
              </w:rPr>
              <w:t xml:space="preserve"> / </w:t>
            </w:r>
            <w:r w:rsidRPr="00646B8B">
              <w:rPr>
                <w:b/>
                <w:bCs/>
                <w:color w:val="FFFFFF"/>
                <w:sz w:val="20"/>
                <w:szCs w:val="20"/>
              </w:rPr>
              <w:t>差异判断</w:t>
            </w:r>
          </w:p>
        </w:tc>
      </w:tr>
      <w:tr w:rsidR="005D2875" w14:paraId="6AA5740F" w14:textId="77777777" w:rsidTr="00314CE0">
        <w:tc>
          <w:tcPr>
            <w:tcW w:w="1600" w:type="dxa"/>
            <w:tcMar>
              <w:top w:w="60" w:type="dxa"/>
              <w:left w:w="100" w:type="dxa"/>
              <w:bottom w:w="60" w:type="dxa"/>
              <w:right w:w="100" w:type="dxa"/>
            </w:tcMar>
            <w:vAlign w:val="center"/>
          </w:tcPr>
          <w:p w14:paraId="7F4EBA15" w14:textId="77777777" w:rsidR="005D2875" w:rsidRDefault="00B855E4" w:rsidP="00314CE0">
            <w:pPr>
              <w:spacing w:before="40" w:after="40"/>
              <w:jc w:val="center"/>
            </w:pPr>
            <w:r>
              <w:rPr>
                <w:color w:val="000000"/>
                <w:sz w:val="20"/>
                <w:szCs w:val="20"/>
              </w:rPr>
              <w:t>输出篇幅变化</w:t>
            </w:r>
          </w:p>
        </w:tc>
        <w:tc>
          <w:tcPr>
            <w:tcW w:w="2800" w:type="dxa"/>
            <w:tcMar>
              <w:top w:w="60" w:type="dxa"/>
              <w:left w:w="100" w:type="dxa"/>
              <w:bottom w:w="60" w:type="dxa"/>
              <w:right w:w="100" w:type="dxa"/>
            </w:tcMar>
            <w:vAlign w:val="center"/>
          </w:tcPr>
          <w:p w14:paraId="0A45BD88" w14:textId="77777777" w:rsidR="005D2875" w:rsidRDefault="00B855E4" w:rsidP="00314CE0">
            <w:pPr>
              <w:spacing w:before="40" w:after="40"/>
              <w:jc w:val="center"/>
            </w:pPr>
            <w:r>
              <w:rPr>
                <w:color w:val="000000"/>
                <w:sz w:val="20"/>
                <w:szCs w:val="20"/>
              </w:rPr>
              <w:t>约</w:t>
            </w:r>
            <w:r>
              <w:rPr>
                <w:color w:val="000000"/>
                <w:sz w:val="20"/>
                <w:szCs w:val="20"/>
              </w:rPr>
              <w:t xml:space="preserve"> 1.96×</w:t>
            </w:r>
          </w:p>
        </w:tc>
        <w:tc>
          <w:tcPr>
            <w:tcW w:w="2900" w:type="dxa"/>
            <w:tcMar>
              <w:top w:w="60" w:type="dxa"/>
              <w:left w:w="100" w:type="dxa"/>
              <w:bottom w:w="60" w:type="dxa"/>
              <w:right w:w="100" w:type="dxa"/>
            </w:tcMar>
            <w:vAlign w:val="center"/>
          </w:tcPr>
          <w:p w14:paraId="3084AE4C" w14:textId="77777777" w:rsidR="005D2875" w:rsidRDefault="00B855E4" w:rsidP="00314CE0">
            <w:pPr>
              <w:spacing w:before="40" w:after="40"/>
              <w:jc w:val="center"/>
            </w:pPr>
            <w:r>
              <w:rPr>
                <w:color w:val="000000"/>
                <w:sz w:val="20"/>
                <w:szCs w:val="20"/>
              </w:rPr>
              <w:t>约</w:t>
            </w:r>
            <w:r>
              <w:rPr>
                <w:color w:val="000000"/>
                <w:sz w:val="20"/>
                <w:szCs w:val="20"/>
              </w:rPr>
              <w:t xml:space="preserve"> 1.29×</w:t>
            </w:r>
            <w:r>
              <w:rPr>
                <w:color w:val="000000"/>
                <w:sz w:val="20"/>
                <w:szCs w:val="20"/>
              </w:rPr>
              <w:t>（</w:t>
            </w:r>
            <w:r>
              <w:rPr>
                <w:color w:val="000000"/>
                <w:sz w:val="20"/>
                <w:szCs w:val="20"/>
              </w:rPr>
              <w:t xml:space="preserve">T1 </w:t>
            </w:r>
            <w:r>
              <w:rPr>
                <w:color w:val="000000"/>
                <w:sz w:val="20"/>
                <w:szCs w:val="20"/>
              </w:rPr>
              <w:t>甚至更短）</w:t>
            </w:r>
          </w:p>
        </w:tc>
        <w:tc>
          <w:tcPr>
            <w:tcW w:w="2700" w:type="dxa"/>
            <w:tcMar>
              <w:top w:w="60" w:type="dxa"/>
              <w:left w:w="100" w:type="dxa"/>
              <w:bottom w:w="60" w:type="dxa"/>
              <w:right w:w="100" w:type="dxa"/>
            </w:tcMar>
            <w:vAlign w:val="center"/>
          </w:tcPr>
          <w:p w14:paraId="6D1F73AC" w14:textId="77777777" w:rsidR="005D2875" w:rsidRDefault="00B855E4" w:rsidP="00314CE0">
            <w:pPr>
              <w:spacing w:before="40" w:after="40"/>
              <w:jc w:val="center"/>
            </w:pPr>
            <w:r>
              <w:rPr>
                <w:color w:val="000000"/>
                <w:sz w:val="20"/>
                <w:szCs w:val="20"/>
              </w:rPr>
              <w:t>方向一致，幅度差异明显</w:t>
            </w:r>
          </w:p>
        </w:tc>
      </w:tr>
      <w:tr w:rsidR="005D2875" w14:paraId="7850D64E" w14:textId="77777777" w:rsidTr="005253F0">
        <w:tc>
          <w:tcPr>
            <w:tcW w:w="1600" w:type="dxa"/>
            <w:shd w:val="clear" w:color="auto" w:fill="FFFFFF" w:themeFill="background1"/>
            <w:tcMar>
              <w:top w:w="60" w:type="dxa"/>
              <w:left w:w="100" w:type="dxa"/>
              <w:bottom w:w="60" w:type="dxa"/>
              <w:right w:w="100" w:type="dxa"/>
            </w:tcMar>
            <w:vAlign w:val="center"/>
          </w:tcPr>
          <w:p w14:paraId="686256E9" w14:textId="77777777" w:rsidR="005D2875" w:rsidRDefault="00B855E4" w:rsidP="00314CE0">
            <w:pPr>
              <w:spacing w:before="40" w:after="40"/>
              <w:jc w:val="center"/>
            </w:pPr>
            <w:r>
              <w:rPr>
                <w:color w:val="000000"/>
                <w:sz w:val="20"/>
                <w:szCs w:val="20"/>
              </w:rPr>
              <w:t>响应时间变化</w:t>
            </w:r>
          </w:p>
        </w:tc>
        <w:tc>
          <w:tcPr>
            <w:tcW w:w="2800" w:type="dxa"/>
            <w:shd w:val="clear" w:color="auto" w:fill="FFFFFF" w:themeFill="background1"/>
            <w:tcMar>
              <w:top w:w="60" w:type="dxa"/>
              <w:left w:w="100" w:type="dxa"/>
              <w:bottom w:w="60" w:type="dxa"/>
              <w:right w:w="100" w:type="dxa"/>
            </w:tcMar>
            <w:vAlign w:val="center"/>
          </w:tcPr>
          <w:p w14:paraId="1FAD2554" w14:textId="77777777" w:rsidR="005D2875" w:rsidRDefault="00B855E4" w:rsidP="00314CE0">
            <w:pPr>
              <w:spacing w:before="40" w:after="40"/>
              <w:jc w:val="center"/>
            </w:pPr>
            <w:r>
              <w:rPr>
                <w:color w:val="000000"/>
                <w:sz w:val="20"/>
                <w:szCs w:val="20"/>
              </w:rPr>
              <w:t>约</w:t>
            </w:r>
            <w:r>
              <w:rPr>
                <w:color w:val="000000"/>
                <w:sz w:val="20"/>
                <w:szCs w:val="20"/>
              </w:rPr>
              <w:t xml:space="preserve"> 1.80×</w:t>
            </w:r>
            <w:r>
              <w:rPr>
                <w:color w:val="000000"/>
                <w:sz w:val="20"/>
                <w:szCs w:val="20"/>
              </w:rPr>
              <w:t>（</w:t>
            </w:r>
            <w:r>
              <w:rPr>
                <w:color w:val="000000"/>
                <w:sz w:val="20"/>
                <w:szCs w:val="20"/>
              </w:rPr>
              <w:t xml:space="preserve">API </w:t>
            </w:r>
            <w:r>
              <w:rPr>
                <w:color w:val="000000"/>
                <w:sz w:val="20"/>
                <w:szCs w:val="20"/>
              </w:rPr>
              <w:t>可测）</w:t>
            </w:r>
          </w:p>
        </w:tc>
        <w:tc>
          <w:tcPr>
            <w:tcW w:w="2900" w:type="dxa"/>
            <w:shd w:val="clear" w:color="auto" w:fill="FFFFFF" w:themeFill="background1"/>
            <w:tcMar>
              <w:top w:w="60" w:type="dxa"/>
              <w:left w:w="100" w:type="dxa"/>
              <w:bottom w:w="60" w:type="dxa"/>
              <w:right w:w="100" w:type="dxa"/>
            </w:tcMar>
            <w:vAlign w:val="center"/>
          </w:tcPr>
          <w:p w14:paraId="507DC495" w14:textId="77777777" w:rsidR="005D2875" w:rsidRDefault="00B855E4" w:rsidP="00314CE0">
            <w:pPr>
              <w:spacing w:before="40" w:after="40"/>
              <w:jc w:val="center"/>
            </w:pPr>
            <w:r>
              <w:rPr>
                <w:color w:val="000000"/>
                <w:sz w:val="20"/>
                <w:szCs w:val="20"/>
              </w:rPr>
              <w:t>无法测量（</w:t>
            </w:r>
            <w:r>
              <w:rPr>
                <w:color w:val="000000"/>
                <w:sz w:val="20"/>
                <w:szCs w:val="20"/>
              </w:rPr>
              <w:t xml:space="preserve">Chatbox </w:t>
            </w:r>
            <w:r>
              <w:rPr>
                <w:color w:val="000000"/>
                <w:sz w:val="20"/>
                <w:szCs w:val="20"/>
              </w:rPr>
              <w:t>接口限制）</w:t>
            </w:r>
          </w:p>
        </w:tc>
        <w:tc>
          <w:tcPr>
            <w:tcW w:w="2700" w:type="dxa"/>
            <w:shd w:val="clear" w:color="auto" w:fill="FFFFFF" w:themeFill="background1"/>
            <w:tcMar>
              <w:top w:w="60" w:type="dxa"/>
              <w:left w:w="100" w:type="dxa"/>
              <w:bottom w:w="60" w:type="dxa"/>
              <w:right w:w="100" w:type="dxa"/>
            </w:tcMar>
            <w:vAlign w:val="center"/>
          </w:tcPr>
          <w:p w14:paraId="03EB6365" w14:textId="77777777" w:rsidR="005D2875" w:rsidRDefault="00B855E4" w:rsidP="00314CE0">
            <w:pPr>
              <w:spacing w:before="40" w:after="40"/>
              <w:jc w:val="center"/>
            </w:pPr>
            <w:r>
              <w:rPr>
                <w:color w:val="000000"/>
                <w:sz w:val="20"/>
                <w:szCs w:val="20"/>
              </w:rPr>
              <w:t>数据可得性不同，非能力差异</w:t>
            </w:r>
          </w:p>
        </w:tc>
      </w:tr>
      <w:tr w:rsidR="005D2875" w14:paraId="75D11C23" w14:textId="77777777" w:rsidTr="00314CE0">
        <w:tc>
          <w:tcPr>
            <w:tcW w:w="1600" w:type="dxa"/>
            <w:tcMar>
              <w:top w:w="60" w:type="dxa"/>
              <w:left w:w="100" w:type="dxa"/>
              <w:bottom w:w="60" w:type="dxa"/>
              <w:right w:w="100" w:type="dxa"/>
            </w:tcMar>
            <w:vAlign w:val="center"/>
          </w:tcPr>
          <w:p w14:paraId="503A6C84" w14:textId="77777777" w:rsidR="005D2875" w:rsidRDefault="00B855E4" w:rsidP="00314CE0">
            <w:pPr>
              <w:spacing w:before="40" w:after="40"/>
              <w:jc w:val="center"/>
            </w:pPr>
            <w:r>
              <w:rPr>
                <w:color w:val="000000"/>
                <w:sz w:val="20"/>
                <w:szCs w:val="20"/>
              </w:rPr>
              <w:t>具名引用密度变化</w:t>
            </w:r>
          </w:p>
        </w:tc>
        <w:tc>
          <w:tcPr>
            <w:tcW w:w="2800" w:type="dxa"/>
            <w:tcMar>
              <w:top w:w="60" w:type="dxa"/>
              <w:left w:w="100" w:type="dxa"/>
              <w:bottom w:w="60" w:type="dxa"/>
              <w:right w:w="100" w:type="dxa"/>
            </w:tcMar>
            <w:vAlign w:val="center"/>
          </w:tcPr>
          <w:p w14:paraId="6C61D94B" w14:textId="77777777" w:rsidR="005D2875" w:rsidRDefault="00B855E4" w:rsidP="00314CE0">
            <w:pPr>
              <w:spacing w:before="40" w:after="40"/>
              <w:jc w:val="center"/>
            </w:pPr>
            <w:r>
              <w:rPr>
                <w:color w:val="000000"/>
                <w:sz w:val="20"/>
                <w:szCs w:val="20"/>
              </w:rPr>
              <w:t>普通模式已有引用，思考模式引用更密但准确率未同步提升</w:t>
            </w:r>
          </w:p>
        </w:tc>
        <w:tc>
          <w:tcPr>
            <w:tcW w:w="2900" w:type="dxa"/>
            <w:tcMar>
              <w:top w:w="60" w:type="dxa"/>
              <w:left w:w="100" w:type="dxa"/>
              <w:bottom w:w="60" w:type="dxa"/>
              <w:right w:w="100" w:type="dxa"/>
            </w:tcMar>
            <w:vAlign w:val="center"/>
          </w:tcPr>
          <w:p w14:paraId="00DA0E2F" w14:textId="77777777" w:rsidR="005D2875" w:rsidRDefault="00B855E4" w:rsidP="00314CE0">
            <w:pPr>
              <w:spacing w:before="40" w:after="40"/>
              <w:jc w:val="center"/>
            </w:pPr>
            <w:r>
              <w:rPr>
                <w:color w:val="000000"/>
                <w:sz w:val="20"/>
                <w:szCs w:val="20"/>
              </w:rPr>
              <w:t>由</w:t>
            </w:r>
            <w:r>
              <w:rPr>
                <w:color w:val="000000"/>
                <w:sz w:val="20"/>
                <w:szCs w:val="20"/>
              </w:rPr>
              <w:t xml:space="preserve"> 0 </w:t>
            </w:r>
            <w:r>
              <w:rPr>
                <w:color w:val="000000"/>
                <w:sz w:val="20"/>
                <w:szCs w:val="20"/>
              </w:rPr>
              <w:t>提升至</w:t>
            </w:r>
            <w:r>
              <w:rPr>
                <w:color w:val="000000"/>
                <w:sz w:val="20"/>
                <w:szCs w:val="20"/>
              </w:rPr>
              <w:t xml:space="preserve"> 8 </w:t>
            </w:r>
            <w:r>
              <w:rPr>
                <w:color w:val="000000"/>
                <w:sz w:val="20"/>
                <w:szCs w:val="20"/>
              </w:rPr>
              <w:t>次（</w:t>
            </w:r>
            <w:r>
              <w:rPr>
                <w:color w:val="000000"/>
                <w:sz w:val="20"/>
                <w:szCs w:val="20"/>
              </w:rPr>
              <w:t xml:space="preserve">T1–T3 </w:t>
            </w:r>
            <w:r>
              <w:rPr>
                <w:color w:val="000000"/>
                <w:sz w:val="20"/>
                <w:szCs w:val="20"/>
              </w:rPr>
              <w:t>合计）</w:t>
            </w:r>
          </w:p>
        </w:tc>
        <w:tc>
          <w:tcPr>
            <w:tcW w:w="2700" w:type="dxa"/>
            <w:tcMar>
              <w:top w:w="60" w:type="dxa"/>
              <w:left w:w="100" w:type="dxa"/>
              <w:bottom w:w="60" w:type="dxa"/>
              <w:right w:w="100" w:type="dxa"/>
            </w:tcMar>
            <w:vAlign w:val="center"/>
          </w:tcPr>
          <w:p w14:paraId="485EBEF8" w14:textId="77777777" w:rsidR="005D2875" w:rsidRDefault="00B855E4" w:rsidP="00314CE0">
            <w:pPr>
              <w:spacing w:before="40" w:after="40"/>
              <w:jc w:val="center"/>
            </w:pPr>
            <w:r>
              <w:rPr>
                <w:color w:val="000000"/>
                <w:sz w:val="20"/>
                <w:szCs w:val="20"/>
              </w:rPr>
              <w:t>均随思考模式提升，</w:t>
            </w:r>
            <w:r>
              <w:rPr>
                <w:color w:val="000000"/>
                <w:sz w:val="20"/>
                <w:szCs w:val="20"/>
              </w:rPr>
              <w:t xml:space="preserve">Gemini </w:t>
            </w:r>
            <w:r>
              <w:rPr>
                <w:color w:val="000000"/>
                <w:sz w:val="20"/>
                <w:szCs w:val="20"/>
              </w:rPr>
              <w:t>提升幅度更极端</w:t>
            </w:r>
          </w:p>
        </w:tc>
      </w:tr>
      <w:tr w:rsidR="005D2875" w14:paraId="75AF24C4" w14:textId="77777777" w:rsidTr="00314CE0">
        <w:tc>
          <w:tcPr>
            <w:tcW w:w="1600" w:type="dxa"/>
            <w:tcMar>
              <w:top w:w="60" w:type="dxa"/>
              <w:left w:w="100" w:type="dxa"/>
              <w:bottom w:w="60" w:type="dxa"/>
              <w:right w:w="100" w:type="dxa"/>
            </w:tcMar>
            <w:vAlign w:val="center"/>
          </w:tcPr>
          <w:p w14:paraId="3B1EFBA3" w14:textId="77777777" w:rsidR="005D2875" w:rsidRDefault="00B855E4" w:rsidP="00314CE0">
            <w:pPr>
              <w:spacing w:before="40" w:after="40"/>
              <w:jc w:val="center"/>
            </w:pPr>
            <w:r>
              <w:rPr>
                <w:color w:val="000000"/>
                <w:sz w:val="20"/>
                <w:szCs w:val="20"/>
              </w:rPr>
              <w:t>幻觉主要模式</w:t>
            </w:r>
          </w:p>
        </w:tc>
        <w:tc>
          <w:tcPr>
            <w:tcW w:w="2800" w:type="dxa"/>
            <w:tcMar>
              <w:top w:w="60" w:type="dxa"/>
              <w:left w:w="100" w:type="dxa"/>
              <w:bottom w:w="60" w:type="dxa"/>
              <w:right w:w="100" w:type="dxa"/>
            </w:tcMar>
            <w:vAlign w:val="center"/>
          </w:tcPr>
          <w:p w14:paraId="2EA86858" w14:textId="77777777" w:rsidR="005D2875" w:rsidRDefault="00B855E4" w:rsidP="00314CE0">
            <w:pPr>
              <w:spacing w:before="40" w:after="40"/>
              <w:jc w:val="center"/>
            </w:pPr>
            <w:r>
              <w:rPr>
                <w:color w:val="000000"/>
                <w:sz w:val="20"/>
                <w:szCs w:val="20"/>
              </w:rPr>
              <w:t>会议</w:t>
            </w:r>
            <w:r>
              <w:rPr>
                <w:color w:val="000000"/>
                <w:sz w:val="20"/>
                <w:szCs w:val="20"/>
              </w:rPr>
              <w:t>/</w:t>
            </w:r>
            <w:r>
              <w:rPr>
                <w:color w:val="000000"/>
                <w:sz w:val="20"/>
                <w:szCs w:val="20"/>
              </w:rPr>
              <w:t>期刊归属张冠李戴</w:t>
            </w:r>
          </w:p>
        </w:tc>
        <w:tc>
          <w:tcPr>
            <w:tcW w:w="2900" w:type="dxa"/>
            <w:tcMar>
              <w:top w:w="60" w:type="dxa"/>
              <w:left w:w="100" w:type="dxa"/>
              <w:bottom w:w="60" w:type="dxa"/>
              <w:right w:w="100" w:type="dxa"/>
            </w:tcMar>
            <w:vAlign w:val="center"/>
          </w:tcPr>
          <w:p w14:paraId="0DB7C06E" w14:textId="77777777" w:rsidR="005D2875" w:rsidRDefault="00B855E4" w:rsidP="00314CE0">
            <w:pPr>
              <w:spacing w:before="40" w:after="40"/>
              <w:jc w:val="center"/>
            </w:pPr>
            <w:r>
              <w:rPr>
                <w:color w:val="000000"/>
                <w:sz w:val="20"/>
                <w:szCs w:val="20"/>
              </w:rPr>
              <w:t>核心文献真实，年份</w:t>
            </w:r>
            <w:r>
              <w:rPr>
                <w:color w:val="000000"/>
                <w:sz w:val="20"/>
                <w:szCs w:val="20"/>
              </w:rPr>
              <w:t xml:space="preserve">/venue </w:t>
            </w:r>
            <w:r>
              <w:rPr>
                <w:color w:val="000000"/>
                <w:sz w:val="20"/>
                <w:szCs w:val="20"/>
              </w:rPr>
              <w:t>细节漂移</w:t>
            </w:r>
          </w:p>
        </w:tc>
        <w:tc>
          <w:tcPr>
            <w:tcW w:w="2700" w:type="dxa"/>
            <w:tcMar>
              <w:top w:w="60" w:type="dxa"/>
              <w:left w:w="100" w:type="dxa"/>
              <w:bottom w:w="60" w:type="dxa"/>
              <w:right w:w="100" w:type="dxa"/>
            </w:tcMar>
            <w:vAlign w:val="center"/>
          </w:tcPr>
          <w:p w14:paraId="5D5DE1E0" w14:textId="2DD7F2EC" w:rsidR="005D2875" w:rsidRDefault="00B855E4" w:rsidP="00314CE0">
            <w:pPr>
              <w:spacing w:before="40" w:after="40"/>
              <w:jc w:val="center"/>
            </w:pPr>
            <w:r>
              <w:rPr>
                <w:color w:val="000000"/>
                <w:sz w:val="20"/>
                <w:szCs w:val="20"/>
              </w:rPr>
              <w:t>均为似真但细节有误，具体错误类型不同</w:t>
            </w:r>
          </w:p>
        </w:tc>
      </w:tr>
      <w:tr w:rsidR="005D2875" w14:paraId="3C0E8E3A" w14:textId="77777777" w:rsidTr="005253F0">
        <w:tc>
          <w:tcPr>
            <w:tcW w:w="1600" w:type="dxa"/>
            <w:shd w:val="clear" w:color="auto" w:fill="FFFFFF" w:themeFill="background1"/>
            <w:tcMar>
              <w:top w:w="60" w:type="dxa"/>
              <w:left w:w="100" w:type="dxa"/>
              <w:bottom w:w="60" w:type="dxa"/>
              <w:right w:w="100" w:type="dxa"/>
            </w:tcMar>
            <w:vAlign w:val="center"/>
          </w:tcPr>
          <w:p w14:paraId="5B225D9A" w14:textId="77777777" w:rsidR="005D2875" w:rsidRDefault="00B855E4" w:rsidP="00314CE0">
            <w:pPr>
              <w:spacing w:before="40" w:after="40"/>
              <w:jc w:val="center"/>
            </w:pPr>
            <w:r>
              <w:rPr>
                <w:color w:val="000000"/>
                <w:sz w:val="20"/>
                <w:szCs w:val="20"/>
              </w:rPr>
              <w:t>不确定性标注使用</w:t>
            </w:r>
          </w:p>
        </w:tc>
        <w:tc>
          <w:tcPr>
            <w:tcW w:w="2800" w:type="dxa"/>
            <w:shd w:val="clear" w:color="auto" w:fill="FFFFFF" w:themeFill="background1"/>
            <w:tcMar>
              <w:top w:w="60" w:type="dxa"/>
              <w:left w:w="100" w:type="dxa"/>
              <w:bottom w:w="60" w:type="dxa"/>
              <w:right w:w="100" w:type="dxa"/>
            </w:tcMar>
            <w:vAlign w:val="center"/>
          </w:tcPr>
          <w:p w14:paraId="506DB416" w14:textId="77777777" w:rsidR="005D2875" w:rsidRDefault="00B855E4" w:rsidP="00314CE0">
            <w:pPr>
              <w:spacing w:before="40" w:after="40"/>
              <w:jc w:val="center"/>
            </w:pPr>
            <w:r>
              <w:rPr>
                <w:color w:val="000000"/>
                <w:sz w:val="20"/>
                <w:szCs w:val="20"/>
              </w:rPr>
              <w:t>两模式均有使用，思考模式略多</w:t>
            </w:r>
          </w:p>
        </w:tc>
        <w:tc>
          <w:tcPr>
            <w:tcW w:w="2900" w:type="dxa"/>
            <w:shd w:val="clear" w:color="auto" w:fill="FFFFFF" w:themeFill="background1"/>
            <w:tcMar>
              <w:top w:w="60" w:type="dxa"/>
              <w:left w:w="100" w:type="dxa"/>
              <w:bottom w:w="60" w:type="dxa"/>
              <w:right w:w="100" w:type="dxa"/>
            </w:tcMar>
            <w:vAlign w:val="center"/>
          </w:tcPr>
          <w:p w14:paraId="1BA2935A" w14:textId="77777777" w:rsidR="005D2875" w:rsidRDefault="00B855E4" w:rsidP="00314CE0">
            <w:pPr>
              <w:spacing w:before="40" w:after="40"/>
              <w:jc w:val="center"/>
            </w:pPr>
            <w:r>
              <w:rPr>
                <w:color w:val="000000"/>
                <w:sz w:val="20"/>
                <w:szCs w:val="20"/>
              </w:rPr>
              <w:t>两模式均有但更稀疏</w:t>
            </w:r>
          </w:p>
        </w:tc>
        <w:tc>
          <w:tcPr>
            <w:tcW w:w="2700" w:type="dxa"/>
            <w:shd w:val="clear" w:color="auto" w:fill="FFFFFF" w:themeFill="background1"/>
            <w:tcMar>
              <w:top w:w="60" w:type="dxa"/>
              <w:left w:w="100" w:type="dxa"/>
              <w:bottom w:w="60" w:type="dxa"/>
              <w:right w:w="100" w:type="dxa"/>
            </w:tcMar>
            <w:vAlign w:val="center"/>
          </w:tcPr>
          <w:p w14:paraId="46FB91A0" w14:textId="77777777" w:rsidR="005D2875" w:rsidRDefault="00B855E4" w:rsidP="00314CE0">
            <w:pPr>
              <w:spacing w:before="40" w:after="40"/>
              <w:jc w:val="center"/>
            </w:pPr>
            <w:r>
              <w:rPr>
                <w:color w:val="000000"/>
                <w:sz w:val="20"/>
                <w:szCs w:val="20"/>
              </w:rPr>
              <w:t>均能部分遵循指令，未覆盖全部错误</w:t>
            </w:r>
          </w:p>
        </w:tc>
      </w:tr>
      <w:tr w:rsidR="005D2875" w14:paraId="0B17E010" w14:textId="77777777" w:rsidTr="00314CE0">
        <w:tc>
          <w:tcPr>
            <w:tcW w:w="1600" w:type="dxa"/>
            <w:tcMar>
              <w:top w:w="60" w:type="dxa"/>
              <w:left w:w="100" w:type="dxa"/>
              <w:bottom w:w="60" w:type="dxa"/>
              <w:right w:w="100" w:type="dxa"/>
            </w:tcMar>
            <w:vAlign w:val="center"/>
          </w:tcPr>
          <w:p w14:paraId="15731E84" w14:textId="77777777" w:rsidR="005D2875" w:rsidRDefault="00B855E4" w:rsidP="00314CE0">
            <w:pPr>
              <w:spacing w:before="40" w:after="40"/>
              <w:jc w:val="center"/>
            </w:pPr>
            <w:r>
              <w:rPr>
                <w:color w:val="000000"/>
                <w:sz w:val="20"/>
                <w:szCs w:val="20"/>
              </w:rPr>
              <w:t xml:space="preserve">T3 </w:t>
            </w:r>
            <w:r>
              <w:rPr>
                <w:color w:val="000000"/>
                <w:sz w:val="20"/>
                <w:szCs w:val="20"/>
              </w:rPr>
              <w:t>研究设计任务上的思考增益</w:t>
            </w:r>
          </w:p>
        </w:tc>
        <w:tc>
          <w:tcPr>
            <w:tcW w:w="2800" w:type="dxa"/>
            <w:tcMar>
              <w:top w:w="60" w:type="dxa"/>
              <w:left w:w="100" w:type="dxa"/>
              <w:bottom w:w="60" w:type="dxa"/>
              <w:right w:w="100" w:type="dxa"/>
            </w:tcMar>
            <w:vAlign w:val="center"/>
          </w:tcPr>
          <w:p w14:paraId="7C666074" w14:textId="77777777" w:rsidR="005D2875" w:rsidRDefault="00B855E4" w:rsidP="00314CE0">
            <w:pPr>
              <w:spacing w:before="40" w:after="40"/>
              <w:jc w:val="center"/>
            </w:pPr>
            <w:r>
              <w:rPr>
                <w:color w:val="000000"/>
                <w:sz w:val="20"/>
                <w:szCs w:val="20"/>
              </w:rPr>
              <w:t>最显著（</w:t>
            </w:r>
            <w:r>
              <w:rPr>
                <w:color w:val="000000"/>
                <w:sz w:val="20"/>
                <w:szCs w:val="20"/>
              </w:rPr>
              <w:t xml:space="preserve">2.04× </w:t>
            </w:r>
            <w:r>
              <w:rPr>
                <w:color w:val="000000"/>
                <w:sz w:val="20"/>
                <w:szCs w:val="20"/>
              </w:rPr>
              <w:t>开销，指标体系最丰富）</w:t>
            </w:r>
          </w:p>
        </w:tc>
        <w:tc>
          <w:tcPr>
            <w:tcW w:w="2900" w:type="dxa"/>
            <w:tcMar>
              <w:top w:w="60" w:type="dxa"/>
              <w:left w:w="100" w:type="dxa"/>
              <w:bottom w:w="60" w:type="dxa"/>
              <w:right w:w="100" w:type="dxa"/>
            </w:tcMar>
            <w:vAlign w:val="center"/>
          </w:tcPr>
          <w:p w14:paraId="7E8F2C4F" w14:textId="77777777" w:rsidR="005D2875" w:rsidRDefault="00B855E4" w:rsidP="00314CE0">
            <w:pPr>
              <w:spacing w:before="40" w:after="40"/>
              <w:jc w:val="center"/>
            </w:pPr>
            <w:r>
              <w:rPr>
                <w:color w:val="000000"/>
                <w:sz w:val="20"/>
                <w:szCs w:val="20"/>
              </w:rPr>
              <w:t>最显著（</w:t>
            </w:r>
            <w:r>
              <w:rPr>
                <w:color w:val="000000"/>
                <w:sz w:val="20"/>
                <w:szCs w:val="20"/>
              </w:rPr>
              <w:t xml:space="preserve">1.64× </w:t>
            </w:r>
            <w:r>
              <w:rPr>
                <w:color w:val="000000"/>
                <w:sz w:val="20"/>
                <w:szCs w:val="20"/>
              </w:rPr>
              <w:t>开销，独有</w:t>
            </w:r>
            <w:r>
              <w:rPr>
                <w:color w:val="000000"/>
                <w:sz w:val="20"/>
                <w:szCs w:val="20"/>
              </w:rPr>
              <w:t xml:space="preserve"> AMR/Kappa </w:t>
            </w:r>
            <w:r>
              <w:rPr>
                <w:color w:val="000000"/>
                <w:sz w:val="20"/>
                <w:szCs w:val="20"/>
              </w:rPr>
              <w:t>等指标）</w:t>
            </w:r>
          </w:p>
        </w:tc>
        <w:tc>
          <w:tcPr>
            <w:tcW w:w="2700" w:type="dxa"/>
            <w:tcMar>
              <w:top w:w="60" w:type="dxa"/>
              <w:left w:w="100" w:type="dxa"/>
              <w:bottom w:w="60" w:type="dxa"/>
              <w:right w:w="100" w:type="dxa"/>
            </w:tcMar>
            <w:vAlign w:val="center"/>
          </w:tcPr>
          <w:p w14:paraId="55A3E1BD" w14:textId="77777777" w:rsidR="005D2875" w:rsidRDefault="00B855E4" w:rsidP="00314CE0">
            <w:pPr>
              <w:spacing w:before="40" w:after="40"/>
              <w:jc w:val="center"/>
            </w:pPr>
            <w:r>
              <w:rPr>
                <w:color w:val="000000"/>
                <w:sz w:val="20"/>
                <w:szCs w:val="20"/>
              </w:rPr>
              <w:t>高度一致：研究设计类任务是思考增益最大的任务类型</w:t>
            </w:r>
          </w:p>
        </w:tc>
      </w:tr>
    </w:tbl>
    <w:p w14:paraId="117EA926" w14:textId="77777777" w:rsidR="00D328A7" w:rsidRPr="00863876" w:rsidRDefault="00D328A7" w:rsidP="00863876"/>
    <w:p w14:paraId="1D7E55C3" w14:textId="5FEFE706" w:rsidR="00D328A7" w:rsidRPr="00D328A7" w:rsidRDefault="00D328A7" w:rsidP="00D328A7">
      <w:pPr>
        <w:pStyle w:val="1"/>
      </w:pPr>
      <w:r w:rsidRPr="00D328A7">
        <w:rPr>
          <w:rFonts w:hint="eastAsia"/>
        </w:rPr>
        <w:t>五、主要发现总结</w:t>
      </w:r>
    </w:p>
    <w:p w14:paraId="22D64427" w14:textId="11CDC153" w:rsidR="005D2875" w:rsidRDefault="00B855E4">
      <w:pPr>
        <w:spacing w:after="160" w:line="300" w:lineRule="auto"/>
        <w:ind w:firstLine="480"/>
      </w:pPr>
      <w:r>
        <w:rPr>
          <w:b/>
          <w:bCs/>
        </w:rPr>
        <w:t>发现一：思考模式带来的结构化与细节化增益具有跨模型一致性。</w:t>
      </w:r>
      <w:r>
        <w:t>无论</w:t>
      </w:r>
      <w:r>
        <w:t xml:space="preserve"> DeepSeek </w:t>
      </w:r>
      <w:r>
        <w:t>还是</w:t>
      </w:r>
      <w:r>
        <w:t xml:space="preserve"> Gemini</w:t>
      </w:r>
      <w:r>
        <w:t>，深度思考模式都会在结构清晰度、技术细节颗粒度（公式、符号推导）与任务针对性指标设计上明显优于普通模式，这是本次实验中最稳健、可复现的共性结论。</w:t>
      </w:r>
    </w:p>
    <w:p w14:paraId="1101518E" w14:textId="1D1660F1" w:rsidR="005D2875" w:rsidRDefault="00B855E4">
      <w:pPr>
        <w:spacing w:after="160" w:line="300" w:lineRule="auto"/>
        <w:ind w:firstLine="480"/>
      </w:pPr>
      <w:r>
        <w:rPr>
          <w:b/>
          <w:bCs/>
        </w:rPr>
        <w:t>发现二：思考模式的资源开销幅度因模型而异，不能简单类推。</w:t>
      </w:r>
      <w:r>
        <w:t xml:space="preserve">DeepSeek </w:t>
      </w:r>
      <w:r>
        <w:t>思考模式的耗时与篇幅开销接近普通模式的</w:t>
      </w:r>
      <w:r>
        <w:t xml:space="preserve"> 2 </w:t>
      </w:r>
      <w:r>
        <w:t>倍，而</w:t>
      </w:r>
      <w:r>
        <w:t xml:space="preserve"> Gemini </w:t>
      </w:r>
      <w:r>
        <w:t>思考模式的篇幅开销仅约</w:t>
      </w:r>
      <w:r>
        <w:t xml:space="preserve"> 1.3 </w:t>
      </w:r>
      <w:r>
        <w:t>倍甚至在个别任务上更短，说明思考模式</w:t>
      </w:r>
      <w:r>
        <w:t>=</w:t>
      </w:r>
      <w:r>
        <w:t>成倍膨胀并非普遍规律，实际权衡需要针对具体模型单独评估。</w:t>
      </w:r>
    </w:p>
    <w:p w14:paraId="7AA26FB3" w14:textId="77777777" w:rsidR="005D2875" w:rsidRDefault="00B855E4">
      <w:pPr>
        <w:spacing w:after="160" w:line="300" w:lineRule="auto"/>
        <w:ind w:firstLine="480"/>
      </w:pPr>
      <w:r>
        <w:rPr>
          <w:b/>
          <w:bCs/>
        </w:rPr>
        <w:t>发现三：更高的具名引用密度并不等价于更高的引用准确率。</w:t>
      </w:r>
      <w:r>
        <w:t>两个模型的思考模式都倾向于给出更多附带年份、会议信息的具体引用，但核验显示这些引用中相当一部分（</w:t>
      </w:r>
      <w:r>
        <w:t xml:space="preserve">DeepSeek </w:t>
      </w:r>
      <w:r>
        <w:t>组的部分综述引用、</w:t>
      </w:r>
      <w:r>
        <w:t xml:space="preserve">Gemini </w:t>
      </w:r>
      <w:r>
        <w:t>组约</w:t>
      </w:r>
      <w:r>
        <w:t xml:space="preserve"> 25% </w:t>
      </w:r>
      <w:r>
        <w:t>的引用）存在会议归属或年份等元数据错误，引用数量与内容可信度并非正相关，反而会增加核实成本。</w:t>
      </w:r>
    </w:p>
    <w:p w14:paraId="44A4324B" w14:textId="04A9536A" w:rsidR="005D2875" w:rsidRDefault="00B855E4">
      <w:pPr>
        <w:spacing w:after="160" w:line="300" w:lineRule="auto"/>
        <w:ind w:firstLine="480"/>
      </w:pPr>
      <w:r>
        <w:rPr>
          <w:b/>
          <w:bCs/>
        </w:rPr>
        <w:t>发现四：思考模式并未从根本上抑制幻觉，但改变了幻觉的呈现形态。</w:t>
      </w:r>
      <w:r>
        <w:t>普通模式的幻觉更多表现为完全不提供可核实引用或引用张冠李戴，思考模式的幻觉则更多表现为核心文献真实存在，但外围细节在若干个真实、相近选项之间发生漂移，后者因大方向正确而更具迷惑性，核验难度反而更高。</w:t>
      </w:r>
    </w:p>
    <w:p w14:paraId="6A2A4248" w14:textId="49B28F51" w:rsidR="005D2875" w:rsidRDefault="00B855E4">
      <w:pPr>
        <w:spacing w:after="160" w:line="300" w:lineRule="auto"/>
        <w:ind w:firstLine="480"/>
      </w:pPr>
      <w:r>
        <w:rPr>
          <w:b/>
          <w:bCs/>
        </w:rPr>
        <w:t>发现五：研究设计类任务是思考模式增益最大、也最值得优先启用思考模式的任务类型。</w:t>
      </w:r>
      <w:r>
        <w:t>两个模型在</w:t>
      </w:r>
      <w:r>
        <w:t xml:space="preserve"> T3</w:t>
      </w:r>
      <w:r>
        <w:t>（研究设计类）任务上都表现出组内最高的篇幅</w:t>
      </w:r>
      <w:r>
        <w:t>/</w:t>
      </w:r>
      <w:r>
        <w:t>时间膨胀比，同时也都产出了普通模式完全未涉及的、专门针对</w:t>
      </w:r>
      <w:r>
        <w:t xml:space="preserve">LLM </w:t>
      </w:r>
      <w:r>
        <w:t>作为检测器这一元问题的评估指标，说明面对缺乏现成模板的原创性研究设计任务，思考模式的增益最为显著。</w:t>
      </w:r>
    </w:p>
    <w:p w14:paraId="723DB898" w14:textId="7FF8E72A" w:rsidR="005D2875" w:rsidRDefault="00B855E4">
      <w:pPr>
        <w:spacing w:after="160" w:line="300" w:lineRule="auto"/>
        <w:ind w:firstLine="480"/>
      </w:pPr>
      <w:r>
        <w:rPr>
          <w:b/>
          <w:bCs/>
        </w:rPr>
        <w:lastRenderedPageBreak/>
        <w:t>发现六：不确定性标注指令能够被部分遵循，但不能替代外部核验。</w:t>
      </w:r>
      <w:r>
        <w:t>两个模型在两种模式下都能在部分位置主动标注</w:t>
      </w:r>
      <w:r>
        <w:t xml:space="preserve"> [</w:t>
      </w:r>
      <w:r>
        <w:t>不确定</w:t>
      </w:r>
      <w:r>
        <w:t>]</w:t>
      </w:r>
      <w:r>
        <w:t>，体现了</w:t>
      </w:r>
      <w:r>
        <w:t xml:space="preserve"> system prompt </w:t>
      </w:r>
      <w:r>
        <w:t>中相关指令的有效性；但本报告核验发现的多处具体错误（如</w:t>
      </w:r>
      <w:r>
        <w:t xml:space="preserve"> CAFE </w:t>
      </w:r>
      <w:r>
        <w:t>的</w:t>
      </w:r>
      <w:r>
        <w:t>venue</w:t>
      </w:r>
      <w:r>
        <w:t>、</w:t>
      </w:r>
      <w:r>
        <w:t xml:space="preserve">Debate-to-Detect </w:t>
      </w:r>
      <w:r>
        <w:t>的年份、</w:t>
      </w:r>
      <w:r>
        <w:t xml:space="preserve">LLM-Consensus </w:t>
      </w:r>
      <w:r>
        <w:t>的存在性）均未被模型自身标注为不确定，说明模型对自身知识的元认知能力有限，不能仅凭模型自报的不确定性标注来判断内容是否需要核验。</w:t>
      </w:r>
    </w:p>
    <w:p w14:paraId="0AC9211C" w14:textId="54BD36D4" w:rsidR="00646B8B" w:rsidRDefault="00646B8B" w:rsidP="00646B8B">
      <w:pPr>
        <w:pStyle w:val="1"/>
      </w:pPr>
      <w:r>
        <w:rPr>
          <w:rFonts w:hint="eastAsia"/>
        </w:rPr>
        <w:t>六、使用建议</w:t>
      </w:r>
    </w:p>
    <w:p w14:paraId="6BDB9624" w14:textId="5C57467D" w:rsidR="005D2875" w:rsidRDefault="00B855E4">
      <w:pPr>
        <w:spacing w:after="160" w:line="300" w:lineRule="auto"/>
        <w:ind w:firstLine="480"/>
      </w:pPr>
      <w:r>
        <w:rPr>
          <w:b/>
          <w:bCs/>
        </w:rPr>
        <w:t>综述写作、项目申报或教学材料准备等需要广度展开的场景</w:t>
      </w:r>
      <w:r>
        <w:t>优先使用深度思考模式，以获取更丰富的前沿工作与更系统化的结构，但审核者必须对文中出现的每一处具名引用逐一核实其存在性与元数据准确性，不应因回答看起来很学术而放松核验标准。</w:t>
      </w:r>
    </w:p>
    <w:p w14:paraId="621BD44B" w14:textId="1B3805E0" w:rsidR="005D2875" w:rsidRDefault="00B855E4">
      <w:pPr>
        <w:spacing w:after="160" w:line="300" w:lineRule="auto"/>
        <w:ind w:firstLine="480"/>
      </w:pPr>
      <w:r>
        <w:rPr>
          <w:b/>
          <w:bCs/>
        </w:rPr>
        <w:t>日常方法对比、快速研究方案构思或仅需核心论点的场景</w:t>
      </w:r>
      <w:r>
        <w:t>使用普通模式即可，两个模型的普通模式在中等复杂度的对比推理任务上都已能给出结构完整、逻辑清晰的回答，且因引用密度更低而天然降低了因盲目采信引用带来的误导风险，适合作为讨论初稿或快速验证想法。</w:t>
      </w:r>
    </w:p>
    <w:p w14:paraId="60AC2CC4" w14:textId="60EC0B77" w:rsidR="005D2875" w:rsidRDefault="005253F0">
      <w:pPr>
        <w:spacing w:after="160" w:line="300" w:lineRule="auto"/>
        <w:ind w:firstLine="480"/>
      </w:pPr>
      <w:r>
        <w:t>两个模型均在</w:t>
      </w:r>
      <w:r w:rsidR="00B855E4">
        <w:rPr>
          <w:b/>
          <w:bCs/>
        </w:rPr>
        <w:t>研究设计与实验方案构思场景</w:t>
      </w:r>
      <w:r w:rsidR="00B855E4">
        <w:t>此类任务上表现出最大的思考模式增益，建议优先启用深度思考模式以获得更完整的评估指标体系与基线选择逻辑，但对其中引用的具体</w:t>
      </w:r>
      <w:r w:rsidR="00B855E4">
        <w:t xml:space="preserve"> SOTA </w:t>
      </w:r>
      <w:r w:rsidR="00B855E4">
        <w:t>方法与文献同样需要逐一核验，可将其视为有经验的合作者给出的方案初稿而非可以直接采信的定论。</w:t>
      </w:r>
    </w:p>
    <w:p w14:paraId="483E4E25" w14:textId="18D8D53A" w:rsidR="005D2875" w:rsidRDefault="00B855E4">
      <w:pPr>
        <w:spacing w:after="160" w:line="300" w:lineRule="auto"/>
        <w:ind w:firstLine="480"/>
      </w:pPr>
      <w:r>
        <w:rPr>
          <w:b/>
          <w:bCs/>
        </w:rPr>
        <w:t>若需要兼顾质量与效率</w:t>
      </w:r>
      <w:r w:rsidR="005253F0">
        <w:rPr>
          <w:rFonts w:hint="eastAsia"/>
          <w:b/>
          <w:bCs/>
        </w:rPr>
        <w:t>，</w:t>
      </w:r>
      <w:r>
        <w:t>可采用级联策略，先用普通模式快速生成初稿，再针对关键章节或存在不确定标注的部分，单独启用深度思考模式进行补充与交叉核实；在有条件获取模型思考过程原文（如通过</w:t>
      </w:r>
      <w:r>
        <w:t xml:space="preserve"> API </w:t>
      </w:r>
      <w:r>
        <w:t>调用）的场景下，应优先审阅思考过程，以判断模型是否在生成引用时表现出了自我怀疑但未在最终答案中体现出来的情形。</w:t>
      </w:r>
    </w:p>
    <w:p w14:paraId="7B6F156A" w14:textId="379CB4B8" w:rsidR="005D2875" w:rsidRDefault="005D2875">
      <w:pPr>
        <w:spacing w:after="160" w:line="300" w:lineRule="auto"/>
        <w:ind w:firstLine="480"/>
      </w:pPr>
    </w:p>
    <w:sectPr w:rsidR="005D2875">
      <w:headerReference w:type="default" r:id="rId7"/>
      <w:footerReference w:type="default" r:id="rId8"/>
      <w:pgSz w:w="11906" w:h="16838"/>
      <w:pgMar w:top="1400" w:right="1400" w:bottom="14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13727" w14:textId="77777777" w:rsidR="00E302AB" w:rsidRDefault="00E302AB">
      <w:r>
        <w:separator/>
      </w:r>
    </w:p>
  </w:endnote>
  <w:endnote w:type="continuationSeparator" w:id="0">
    <w:p w14:paraId="30652F62" w14:textId="77777777" w:rsidR="00E302AB" w:rsidRDefault="00E3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B0526" w14:textId="77777777" w:rsidR="005D2875" w:rsidRDefault="00B855E4">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013E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6FCD8" w14:textId="77777777" w:rsidR="00E302AB" w:rsidRDefault="00E302AB">
      <w:r>
        <w:separator/>
      </w:r>
    </w:p>
  </w:footnote>
  <w:footnote w:type="continuationSeparator" w:id="0">
    <w:p w14:paraId="2C42EA32" w14:textId="77777777" w:rsidR="00E302AB" w:rsidRDefault="00E30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0A05" w14:textId="120078CC" w:rsidR="005D2875" w:rsidRDefault="005D2875">
    <w:pPr>
      <w:tabs>
        <w:tab w:val="right" w:pos="902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EB5"/>
    <w:multiLevelType w:val="hybridMultilevel"/>
    <w:tmpl w:val="D54ECA10"/>
    <w:lvl w:ilvl="0" w:tplc="60784B8C">
      <w:start w:val="1"/>
      <w:numFmt w:val="bullet"/>
      <w:lvlText w:val="●"/>
      <w:lvlJc w:val="left"/>
      <w:pPr>
        <w:ind w:left="720" w:hanging="360"/>
      </w:pPr>
    </w:lvl>
    <w:lvl w:ilvl="1" w:tplc="96BC531A">
      <w:start w:val="1"/>
      <w:numFmt w:val="bullet"/>
      <w:lvlText w:val="○"/>
      <w:lvlJc w:val="left"/>
      <w:pPr>
        <w:ind w:left="1440" w:hanging="360"/>
      </w:pPr>
    </w:lvl>
    <w:lvl w:ilvl="2" w:tplc="A5B8F8BE">
      <w:start w:val="1"/>
      <w:numFmt w:val="bullet"/>
      <w:lvlText w:val="■"/>
      <w:lvlJc w:val="left"/>
      <w:pPr>
        <w:ind w:left="2160" w:hanging="360"/>
      </w:pPr>
    </w:lvl>
    <w:lvl w:ilvl="3" w:tplc="3D508E50">
      <w:start w:val="1"/>
      <w:numFmt w:val="bullet"/>
      <w:lvlText w:val="●"/>
      <w:lvlJc w:val="left"/>
      <w:pPr>
        <w:ind w:left="2880" w:hanging="360"/>
      </w:pPr>
    </w:lvl>
    <w:lvl w:ilvl="4" w:tplc="3C6EBFB8">
      <w:start w:val="1"/>
      <w:numFmt w:val="bullet"/>
      <w:lvlText w:val="○"/>
      <w:lvlJc w:val="left"/>
      <w:pPr>
        <w:ind w:left="3600" w:hanging="360"/>
      </w:pPr>
    </w:lvl>
    <w:lvl w:ilvl="5" w:tplc="9956DF3C">
      <w:start w:val="1"/>
      <w:numFmt w:val="bullet"/>
      <w:lvlText w:val="■"/>
      <w:lvlJc w:val="left"/>
      <w:pPr>
        <w:ind w:left="4320" w:hanging="360"/>
      </w:pPr>
    </w:lvl>
    <w:lvl w:ilvl="6" w:tplc="AA16A370">
      <w:start w:val="1"/>
      <w:numFmt w:val="bullet"/>
      <w:lvlText w:val="●"/>
      <w:lvlJc w:val="left"/>
      <w:pPr>
        <w:ind w:left="5040" w:hanging="360"/>
      </w:pPr>
    </w:lvl>
    <w:lvl w:ilvl="7" w:tplc="AA4A5780">
      <w:start w:val="1"/>
      <w:numFmt w:val="bullet"/>
      <w:lvlText w:val="●"/>
      <w:lvlJc w:val="left"/>
      <w:pPr>
        <w:ind w:left="5760" w:hanging="360"/>
      </w:pPr>
    </w:lvl>
    <w:lvl w:ilvl="8" w:tplc="2AE625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875"/>
    <w:rsid w:val="00112A40"/>
    <w:rsid w:val="00314CE0"/>
    <w:rsid w:val="005253F0"/>
    <w:rsid w:val="005D2875"/>
    <w:rsid w:val="00646B8B"/>
    <w:rsid w:val="0083082A"/>
    <w:rsid w:val="00863876"/>
    <w:rsid w:val="009013E5"/>
    <w:rsid w:val="009B5CAD"/>
    <w:rsid w:val="009C0BBB"/>
    <w:rsid w:val="00B14329"/>
    <w:rsid w:val="00B855E4"/>
    <w:rsid w:val="00CB13BE"/>
    <w:rsid w:val="00D328A7"/>
    <w:rsid w:val="00E02573"/>
    <w:rsid w:val="00E30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0DFF"/>
  <w15:docId w15:val="{F7C747D2-8313-4C90-A7CF-17E964694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软雅黑" w:eastAsiaTheme="minorEastAsia" w:hAnsi="微软雅黑" w:cs="微软雅黑"/>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3E5"/>
    <w:pPr>
      <w:widowControl w:val="0"/>
      <w:jc w:val="both"/>
    </w:pPr>
    <w:rPr>
      <w:rFonts w:ascii="Times New Roman" w:eastAsia="宋体" w:hAnsi="Times New Roman"/>
    </w:rPr>
  </w:style>
  <w:style w:type="paragraph" w:styleId="1">
    <w:name w:val="heading 1"/>
    <w:uiPriority w:val="9"/>
    <w:qFormat/>
    <w:rsid w:val="009013E5"/>
    <w:pPr>
      <w:spacing w:before="400" w:after="200"/>
      <w:outlineLvl w:val="0"/>
    </w:pPr>
    <w:rPr>
      <w:rFonts w:eastAsia="微软雅黑"/>
      <w:b/>
      <w:bCs/>
      <w:sz w:val="30"/>
      <w:szCs w:val="30"/>
    </w:rPr>
  </w:style>
  <w:style w:type="paragraph" w:styleId="2">
    <w:name w:val="heading 2"/>
    <w:uiPriority w:val="9"/>
    <w:unhideWhenUsed/>
    <w:qFormat/>
    <w:rsid w:val="009013E5"/>
    <w:pPr>
      <w:spacing w:before="280" w:after="140"/>
      <w:outlineLvl w:val="1"/>
    </w:pPr>
    <w:rPr>
      <w:rFonts w:eastAsia="微软雅黑"/>
      <w:b/>
      <w:bCs/>
      <w:sz w:val="26"/>
      <w:szCs w:val="26"/>
    </w:rPr>
  </w:style>
  <w:style w:type="paragraph" w:styleId="3">
    <w:name w:val="heading 3"/>
    <w:uiPriority w:val="9"/>
    <w:unhideWhenUsed/>
    <w:qFormat/>
    <w:rsid w:val="009013E5"/>
    <w:pPr>
      <w:spacing w:before="220" w:after="100"/>
      <w:outlineLvl w:val="2"/>
    </w:pPr>
    <w:rPr>
      <w:rFonts w:eastAsia="微软雅黑"/>
      <w:b/>
      <w:bCs/>
      <w:sz w:val="24"/>
      <w:szCs w:val="24"/>
    </w:rPr>
  </w:style>
  <w:style w:type="paragraph" w:styleId="4">
    <w:name w:val="heading 4"/>
    <w:uiPriority w:val="9"/>
    <w:semiHidden/>
    <w:unhideWhenUsed/>
    <w:qFormat/>
    <w:rsid w:val="009013E5"/>
    <w:pPr>
      <w:outlineLvl w:val="3"/>
    </w:pPr>
    <w:rPr>
      <w:i/>
      <w:iCs/>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CB13BE"/>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CB13BE"/>
    <w:rPr>
      <w:rFonts w:ascii="Times New Roman" w:eastAsia="宋体" w:hAnsi="Times New Roman"/>
      <w:sz w:val="18"/>
      <w:szCs w:val="18"/>
    </w:rPr>
  </w:style>
  <w:style w:type="paragraph" w:styleId="ae">
    <w:name w:val="footer"/>
    <w:basedOn w:val="a"/>
    <w:link w:val="af"/>
    <w:uiPriority w:val="99"/>
    <w:unhideWhenUsed/>
    <w:rsid w:val="00CB13BE"/>
    <w:pPr>
      <w:tabs>
        <w:tab w:val="center" w:pos="4153"/>
        <w:tab w:val="right" w:pos="8306"/>
      </w:tabs>
      <w:snapToGrid w:val="0"/>
      <w:jc w:val="left"/>
    </w:pPr>
    <w:rPr>
      <w:sz w:val="18"/>
      <w:szCs w:val="18"/>
    </w:rPr>
  </w:style>
  <w:style w:type="character" w:customStyle="1" w:styleId="af">
    <w:name w:val="页脚 字符"/>
    <w:basedOn w:val="a0"/>
    <w:link w:val="ae"/>
    <w:uiPriority w:val="99"/>
    <w:rsid w:val="00CB13B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14</Pages>
  <Words>2754</Words>
  <Characters>15699</Characters>
  <Application>Microsoft Office Word</Application>
  <DocSecurity>0</DocSecurity>
  <Lines>130</Lines>
  <Paragraphs>36</Paragraphs>
  <ScaleCrop>false</ScaleCrop>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冉芸 梁</cp:lastModifiedBy>
  <cp:revision>9</cp:revision>
  <dcterms:created xsi:type="dcterms:W3CDTF">2026-07-09T01:46:00Z</dcterms:created>
  <dcterms:modified xsi:type="dcterms:W3CDTF">2026-07-10T12:33:00Z</dcterms:modified>
</cp:coreProperties>
</file>