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cuizhexiao.xyz 嵌入式 AI 助手</w:t>
      </w:r>
    </w:p>
    <w:p>
      <w:pPr>
        <w:pStyle w:val="Subtitle"/>
        <w:jc w:val="center"/>
      </w:pPr>
      <w:r>
        <w:t xml:space="preserve">项目计划书（投资人完整版）</w:t>
      </w:r>
    </w:p>
    <w:p>
      <w:pPr>
        <w:jc w:val="center"/>
      </w:pPr>
      <w:r>
        <w:t xml:space="preserve">版本：V1.0</w:t>
      </w:r>
    </w:p>
    <w:p>
      <w:pPr>
        <w:jc w:val="center"/>
      </w:pPr>
      <w:r>
        <w:t xml:space="preserve">日期：2026 年 4 月</w:t>
      </w:r>
    </w:p>
    <w:p>
      <w:pPr>
        <w:jc w:val="center"/>
      </w:pPr>
      <w:r>
        <w:t xml:space="preserve">项目定位：个人作品集入口 + 面向大学生与嵌入式初学者的 AI 项目落地助手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r>
        <w:t xml:space="preserve">cuizhexiao.xyz 嵌入式 AI 助手是一个面向大学生、嵌入式初学者、电子竞赛参与者和非嵌入式背景开发者的垂直 AI 产品。项目第一阶段以个人作品集和技术展示为入口，第二阶段演进为可商业化的嵌入式项目落地工具。</w:t>
      </w:r>
    </w:p>
    <w:p>
      <w:r>
        <w:t xml:space="preserve">产品核心不是泛聊天，而是帮助用户把自然语言需求转化为可执行的嵌入式项目方案：硬件选型、淘宝搜索链接、接线说明、电路注意事项、示例代码和调试步骤。</w:t>
      </w:r>
    </w:p>
    <w:p>
      <w:r>
        <w:t xml:space="preserve">MVP 将优先打穿蓝桥杯单片机组场景，随后扩展到全国大学生电子设计竞赛、智能车训练、课程设计和毕业设计。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项目要素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核心用户</w:t>
            </w:r>
          </w:p>
        </w:tc>
        <w:tc>
          <w:tcPr>
            <w:tcW w:w="2400" w:type="dxa"/>
          </w:tcPr>
          <w:p>
            <w:r>
              <w:t xml:space="preserve">大学生、嵌入式初学者、竞赛选手、非嵌入式背景项目开发者</w:t>
            </w:r>
          </w:p>
        </w:tc>
      </w:tr>
      <w:tr>
        <w:tc>
          <w:tcPr>
            <w:tcW w:w="2400" w:type="dxa"/>
          </w:tcPr>
          <w:p>
            <w:r>
              <w:t xml:space="preserve">首个场景</w:t>
            </w:r>
          </w:p>
        </w:tc>
        <w:tc>
          <w:tcPr>
            <w:tcW w:w="2400" w:type="dxa"/>
          </w:tcPr>
          <w:p>
            <w:r>
              <w:t xml:space="preserve">蓝桥杯单片机组省赛/国赛训练</w:t>
            </w:r>
          </w:p>
        </w:tc>
      </w:tr>
      <w:tr>
        <w:tc>
          <w:tcPr>
            <w:tcW w:w="2400" w:type="dxa"/>
          </w:tcPr>
          <w:p>
            <w:r>
              <w:t xml:space="preserve">首批主控</w:t>
            </w:r>
          </w:p>
        </w:tc>
        <w:tc>
          <w:tcPr>
            <w:tcW w:w="2400" w:type="dxa"/>
          </w:tcPr>
          <w:p>
            <w:r>
              <w:t xml:space="preserve">STM32、ESP32、NXP RT1064</w:t>
            </w:r>
          </w:p>
        </w:tc>
      </w:tr>
      <w:tr>
        <w:tc>
          <w:tcPr>
            <w:tcW w:w="2400" w:type="dxa"/>
          </w:tcPr>
          <w:p>
            <w:r>
              <w:t xml:space="preserve">代码生态</w:t>
            </w:r>
          </w:p>
        </w:tc>
        <w:tc>
          <w:tcPr>
            <w:tcW w:w="2400" w:type="dxa"/>
          </w:tcPr>
          <w:p>
            <w:r>
              <w:t xml:space="preserve">STM32 标准库、Arduino for ESP32、MCUXpresso SDK</w:t>
            </w:r>
          </w:p>
        </w:tc>
      </w:tr>
      <w:tr>
        <w:tc>
          <w:tcPr>
            <w:tcW w:w="2400" w:type="dxa"/>
          </w:tcPr>
          <w:p>
            <w:r>
              <w:t xml:space="preserve">商业路径</w:t>
            </w:r>
          </w:p>
        </w:tc>
        <w:tc>
          <w:tcPr>
            <w:tcW w:w="2400" w:type="dxa"/>
          </w:tcPr>
          <w:p>
            <w:r>
              <w:t xml:space="preserve">免费展示 -&gt; 象征性订阅 -&gt; 竞赛/项目包 -&gt; 硬件商家合作</w:t>
            </w:r>
          </w:p>
        </w:tc>
      </w:tr>
    </w:tbl>
    <w:p>
      <w:pPr>
        <w:pStyle w:val="Heading1"/>
      </w:pPr>
      <w:r>
        <w:t xml:space="preserve">2. 市场机会</w:t>
      </w:r>
    </w:p>
    <w:p>
      <w:r>
        <w:t xml:space="preserve">• 边缘 AI 与 MCU AI 正在成为嵌入式行业增长方向。ST、NXP、Infineon 等厂商都在强化 MCU 端 AI、TinyML、NPU 和模型部署工具。</w:t>
      </w:r>
    </w:p>
    <w:p>
      <w:r>
        <w:t xml:space="preserve">• AI 教育和项目式学习正在普及。学生和学校对“用 AI 辅助完成真实项目”的接受度正在提升。</w:t>
      </w:r>
    </w:p>
    <w:p>
      <w:r>
        <w:t xml:space="preserve">• 电子竞赛、课程设计、毕业设计具有强结果导向，用户付费动机比普通聊天更明确。</w:t>
      </w:r>
    </w:p>
    <w:p>
      <w:r>
        <w:t xml:space="preserve">• 现有通用大模型缺少嵌入式落地上下文，容易在硬件选型、引脚连接、外设初始化和调试路径上给出泛化答案。</w:t>
      </w:r>
    </w:p>
    <w:p>
      <w:r>
        <w:t xml:space="preserve">投资判断：本项目的机会不在于“再做一个聊天机器人”，而在于把 AI 能力产品化为嵌入式项目交付流程，缩短学生从想法到作品的路径。</w:t>
      </w:r>
    </w:p>
    <w:p>
      <w:pPr>
        <w:pStyle w:val="Heading1"/>
      </w:pPr>
      <w:r>
        <w:t xml:space="preserve">3. 用户痛点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用户类型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核心痛点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产品价值</w:t>
            </w:r>
          </w:p>
        </w:tc>
      </w:tr>
      <w:tr>
        <w:tc>
          <w:tcPr>
            <w:tcW w:w="2400" w:type="dxa"/>
          </w:tcPr>
          <w:p>
            <w:r>
              <w:t xml:space="preserve">大学生竞赛选手</w:t>
            </w:r>
          </w:p>
        </w:tc>
        <w:tc>
          <w:tcPr>
            <w:tcW w:w="2400" w:type="dxa"/>
          </w:tcPr>
          <w:p>
            <w:r>
              <w:t xml:space="preserve">不知道选什么硬件、怎么接线、怎么拆题、怎么调试</w:t>
            </w:r>
          </w:p>
        </w:tc>
        <w:tc>
          <w:tcPr>
            <w:tcW w:w="2400" w:type="dxa"/>
          </w:tcPr>
          <w:p>
            <w:r>
              <w:t xml:space="preserve">输出竞赛导向的硬件方案、代码骨架和调试步骤</w:t>
            </w:r>
          </w:p>
        </w:tc>
      </w:tr>
      <w:tr>
        <w:tc>
          <w:tcPr>
            <w:tcW w:w="2400" w:type="dxa"/>
          </w:tcPr>
          <w:p>
            <w:r>
              <w:t xml:space="preserve">嵌入式初学者</w:t>
            </w:r>
          </w:p>
        </w:tc>
        <w:tc>
          <w:tcPr>
            <w:tcW w:w="2400" w:type="dxa"/>
          </w:tcPr>
          <w:p>
            <w:r>
              <w:t xml:space="preserve">缺少系统路径，容易卡在环境、外设、引脚、时序问题</w:t>
            </w:r>
          </w:p>
        </w:tc>
        <w:tc>
          <w:tcPr>
            <w:tcW w:w="2400" w:type="dxa"/>
          </w:tcPr>
          <w:p>
            <w:r>
              <w:t xml:space="preserve">用教学模式解释原理和步骤</w:t>
            </w:r>
          </w:p>
        </w:tc>
      </w:tr>
      <w:tr>
        <w:tc>
          <w:tcPr>
            <w:tcW w:w="2400" w:type="dxa"/>
          </w:tcPr>
          <w:p>
            <w:r>
              <w:t xml:space="preserve">非嵌入式背景用户</w:t>
            </w:r>
          </w:p>
        </w:tc>
        <w:tc>
          <w:tcPr>
            <w:tcW w:w="2400" w:type="dxa"/>
          </w:tcPr>
          <w:p>
            <w:r>
              <w:t xml:space="preserve">能描述需求，但不能转换成可执行硬件系统</w:t>
            </w:r>
          </w:p>
        </w:tc>
        <w:tc>
          <w:tcPr>
            <w:tcW w:w="2400" w:type="dxa"/>
          </w:tcPr>
          <w:p>
            <w:r>
              <w:t xml:space="preserve">用落地模式直接给方案和采购关键词</w:t>
            </w:r>
          </w:p>
        </w:tc>
      </w:tr>
      <w:tr>
        <w:tc>
          <w:tcPr>
            <w:tcW w:w="2400" w:type="dxa"/>
          </w:tcPr>
          <w:p>
            <w:r>
              <w:t xml:space="preserve">内容/培训方</w:t>
            </w:r>
          </w:p>
        </w:tc>
        <w:tc>
          <w:tcPr>
            <w:tcW w:w="2400" w:type="dxa"/>
          </w:tcPr>
          <w:p>
            <w:r>
              <w:t xml:space="preserve">需要大量案例、题解和训练材料</w:t>
            </w:r>
          </w:p>
        </w:tc>
        <w:tc>
          <w:tcPr>
            <w:tcW w:w="2400" w:type="dxa"/>
          </w:tcPr>
          <w:p>
            <w:r>
              <w:t xml:space="preserve">沉淀测试集、案例库和课程化内容</w:t>
            </w:r>
          </w:p>
        </w:tc>
      </w:tr>
    </w:tbl>
    <w:p>
      <w:pPr>
        <w:pStyle w:val="Heading1"/>
      </w:pPr>
      <w:r>
        <w:t xml:space="preserve">4. 产品方案</w:t>
      </w:r>
    </w:p>
    <w:p>
      <w:r>
        <w:t xml:space="preserve">产品采用“模式识别 + 嵌入式规则 + 测试集 + 模型网关”的方式工作。用户输入自然语言需求后，系统判断其需要教学式解释还是直接落地方案，并生成结构化结果。</w:t>
      </w:r>
    </w:p>
    <w:p>
      <w:r>
        <w:t xml:space="preserve">• 教学模式：适合初学者，解释为什么这样选型、为什么这样接线、为什么这样写代码。</w:t>
      </w:r>
    </w:p>
    <w:p>
      <w:r>
        <w:t xml:space="preserve">• 落地模式：适合要结果的用户，直接输出硬件清单、淘宝搜索链接、接线表、代码骨架和调试步骤。</w:t>
      </w:r>
    </w:p>
    <w:p>
      <w:r>
        <w:t xml:space="preserve">• 评测驱动：用蓝桥杯 `.doc` 真题建立测试集，持续评估生成质量。</w:t>
      </w:r>
    </w:p>
    <w:p>
      <w:r>
        <w:t xml:space="preserve">• 模型可切换：本地 Ollama 用于 Demo，云端模型用于高质量代码生成和复杂推理。</w:t>
      </w:r>
    </w:p>
    <w:p>
      <w:pPr>
        <w:pStyle w:val="Heading1"/>
      </w:pPr>
      <w:r>
        <w:t xml:space="preserve">5. MVP 功能范围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MVP 功能</w:t>
            </w:r>
          </w:p>
        </w:tc>
      </w:tr>
      <w:tr>
        <w:tc>
          <w:tcPr>
            <w:tcW w:w="2400" w:type="dxa"/>
          </w:tcPr>
          <w:p>
            <w:r>
              <w:t xml:space="preserve">用户与权限</w:t>
            </w:r>
          </w:p>
        </w:tc>
        <w:tc>
          <w:tcPr>
            <w:tcW w:w="2400" w:type="dxa"/>
          </w:tcPr>
          <w:p>
            <w:r>
              <w:t xml:space="preserve">GitHub 登录、管理员识别、每日 5 次免费额度</w:t>
            </w:r>
          </w:p>
        </w:tc>
      </w:tr>
      <w:tr>
        <w:tc>
          <w:tcPr>
            <w:tcW w:w="2400" w:type="dxa"/>
          </w:tcPr>
          <w:p>
            <w:r>
              <w:t xml:space="preserve">AI 方案生成</w:t>
            </w:r>
          </w:p>
        </w:tc>
        <w:tc>
          <w:tcPr>
            <w:tcW w:w="2400" w:type="dxa"/>
          </w:tcPr>
          <w:p>
            <w:r>
              <w:t xml:space="preserve">根据自然语言生成嵌入式项目方案</w:t>
            </w:r>
          </w:p>
        </w:tc>
      </w:tr>
      <w:tr>
        <w:tc>
          <w:tcPr>
            <w:tcW w:w="2400" w:type="dxa"/>
          </w:tcPr>
          <w:p>
            <w:r>
              <w:t xml:space="preserve">硬件推荐</w:t>
            </w:r>
          </w:p>
        </w:tc>
        <w:tc>
          <w:tcPr>
            <w:tcW w:w="2400" w:type="dxa"/>
          </w:tcPr>
          <w:p>
            <w:r>
              <w:t xml:space="preserve">生成硬件清单和淘宝搜索链接</w:t>
            </w:r>
          </w:p>
        </w:tc>
      </w:tr>
      <w:tr>
        <w:tc>
          <w:tcPr>
            <w:tcW w:w="2400" w:type="dxa"/>
          </w:tcPr>
          <w:p>
            <w:r>
              <w:t xml:space="preserve">接线与电路</w:t>
            </w:r>
          </w:p>
        </w:tc>
        <w:tc>
          <w:tcPr>
            <w:tcW w:w="2400" w:type="dxa"/>
          </w:tcPr>
          <w:p>
            <w:r>
              <w:t xml:space="preserve">输出模块引脚、主控引脚、电源和注意事项</w:t>
            </w:r>
          </w:p>
        </w:tc>
      </w:tr>
      <w:tr>
        <w:tc>
          <w:tcPr>
            <w:tcW w:w="2400" w:type="dxa"/>
          </w:tcPr>
          <w:p>
            <w:r>
              <w:t xml:space="preserve">代码生成</w:t>
            </w:r>
          </w:p>
        </w:tc>
        <w:tc>
          <w:tcPr>
            <w:tcW w:w="2400" w:type="dxa"/>
          </w:tcPr>
          <w:p>
            <w:r>
              <w:t xml:space="preserve">STM32 标准库、ESP32 Arduino、NXP MCUXpresso SDK 示例</w:t>
            </w:r>
          </w:p>
        </w:tc>
      </w:tr>
      <w:tr>
        <w:tc>
          <w:tcPr>
            <w:tcW w:w="2400" w:type="dxa"/>
          </w:tcPr>
          <w:p>
            <w:r>
              <w:t xml:space="preserve">调试助手</w:t>
            </w:r>
          </w:p>
        </w:tc>
        <w:tc>
          <w:tcPr>
            <w:tcW w:w="2400" w:type="dxa"/>
          </w:tcPr>
          <w:p>
            <w:r>
              <w:t xml:space="preserve">按最小硬件验证、外设验证、系统联调给出排查步骤</w:t>
            </w:r>
          </w:p>
        </w:tc>
      </w:tr>
      <w:tr>
        <w:tc>
          <w:tcPr>
            <w:tcW w:w="2400" w:type="dxa"/>
          </w:tcPr>
          <w:p>
            <w:r>
              <w:t xml:space="preserve">管理后台</w:t>
            </w:r>
          </w:p>
        </w:tc>
        <w:tc>
          <w:tcPr>
            <w:tcW w:w="2400" w:type="dxa"/>
          </w:tcPr>
          <w:p>
            <w:r>
              <w:t xml:space="preserve">用户、用量、AI 请求、测试题结果查看</w:t>
            </w:r>
          </w:p>
        </w:tc>
      </w:tr>
    </w:tbl>
    <w:p>
      <w:pPr>
        <w:pStyle w:val="Heading1"/>
      </w:pPr>
      <w:r>
        <w:t xml:space="preserve">6. 技术架构</w:t>
      </w:r>
    </w:p>
    <w:p>
      <w:r>
        <w:t xml:space="preserve">MVP 技术架构采用 Nginx + FastAPI + Postgres + WordPress + Model Gateway。FastAPI 作为统一编排层，负责鉴权、用量、AI 请求审计、提示词组织和模型调用。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tcPr>
            <w:tcW w:w="2400" w:type="dxa"/>
          </w:tcPr>
          <w:p>
            <w:r>
              <w:t xml:space="preserve">Nginx</w:t>
            </w:r>
          </w:p>
        </w:tc>
        <w:tc>
          <w:tcPr>
            <w:tcW w:w="2400" w:type="dxa"/>
          </w:tcPr>
          <w:p>
            <w:r>
              <w:t xml:space="preserve">HTTPS、静态站、/api/、/blog/ 路由分发</w:t>
            </w:r>
          </w:p>
        </w:tc>
      </w:tr>
      <w:tr>
        <w:tc>
          <w:tcPr>
            <w:tcW w:w="2400" w:type="dxa"/>
          </w:tcPr>
          <w:p>
            <w:r>
              <w:t xml:space="preserve">Static Site</w:t>
            </w:r>
          </w:p>
        </w:tc>
        <w:tc>
          <w:tcPr>
            <w:tcW w:w="2400" w:type="dxa"/>
          </w:tcPr>
          <w:p>
            <w:r>
              <w:t xml:space="preserve">个人作品集、产品入口、AI 输入界面</w:t>
            </w:r>
          </w:p>
        </w:tc>
      </w:tr>
      <w:tr>
        <w:tc>
          <w:tcPr>
            <w:tcW w:w="2400" w:type="dxa"/>
          </w:tcPr>
          <w:p>
            <w:r>
              <w:t xml:space="preserve">FastAPI</w:t>
            </w:r>
          </w:p>
        </w:tc>
        <w:tc>
          <w:tcPr>
            <w:tcW w:w="2400" w:type="dxa"/>
          </w:tcPr>
          <w:p>
            <w:r>
              <w:t xml:space="preserve">业务编排、GitHub 登录、额度、AI 网关、管理 API</w:t>
            </w:r>
          </w:p>
        </w:tc>
      </w:tr>
      <w:tr>
        <w:tc>
          <w:tcPr>
            <w:tcW w:w="2400" w:type="dxa"/>
          </w:tcPr>
          <w:p>
            <w:r>
              <w:t xml:space="preserve">Postgres</w:t>
            </w:r>
          </w:p>
        </w:tc>
        <w:tc>
          <w:tcPr>
            <w:tcW w:w="2400" w:type="dxa"/>
          </w:tcPr>
          <w:p>
            <w:r>
              <w:t xml:space="preserve">用户、身份、订阅、用量、AI 请求、测试题元数据</w:t>
            </w:r>
          </w:p>
        </w:tc>
      </w:tr>
      <w:tr>
        <w:tc>
          <w:tcPr>
            <w:tcW w:w="2400" w:type="dxa"/>
          </w:tcPr>
          <w:p>
            <w:r>
              <w:t xml:space="preserve">WordPress</w:t>
            </w:r>
          </w:p>
        </w:tc>
        <w:tc>
          <w:tcPr>
            <w:tcW w:w="2400" w:type="dxa"/>
          </w:tcPr>
          <w:p>
            <w:r>
              <w:t xml:space="preserve">博客内容系统，后续接入 AI 内容管理</w:t>
            </w:r>
          </w:p>
        </w:tc>
      </w:tr>
      <w:tr>
        <w:tc>
          <w:tcPr>
            <w:tcW w:w="2400" w:type="dxa"/>
          </w:tcPr>
          <w:p>
            <w:r>
              <w:t xml:space="preserve">Model Gateway</w:t>
            </w:r>
          </w:p>
        </w:tc>
        <w:tc>
          <w:tcPr>
            <w:tcW w:w="2400" w:type="dxa"/>
          </w:tcPr>
          <w:p>
            <w:r>
              <w:t xml:space="preserve">统一 Ollama、云端模型和未来自有模型接口</w:t>
            </w:r>
          </w:p>
        </w:tc>
      </w:tr>
    </w:tbl>
    <w:p>
      <w:r>
        <w:t xml:space="preserve">当前 ECS 为 2 核 2G + 4G swap + 3M 带宽，适合承担 Web 服务和编排层，不适合承担强模型推理。因此产品质量不能依赖本地大模型，必须保留云端模型或更强服务器切换能力。</w:t>
      </w:r>
    </w:p>
    <w:p>
      <w:pPr>
        <w:pStyle w:val="Heading1"/>
      </w:pPr>
      <w:r>
        <w:t xml:space="preserve">7. 数据与壁垒</w:t>
      </w:r>
    </w:p>
    <w:p>
      <w:r>
        <w:t xml:space="preserve">本项目的长期壁垒不只是模型，而是面向嵌入式竞赛和项目落地的数据资产、评测体系和案例库。</w:t>
      </w:r>
    </w:p>
    <w:p>
      <w:r>
        <w:t xml:space="preserve">• 蓝桥杯单片机组省赛/国赛 `.doc` 题目结构化。</w:t>
      </w:r>
    </w:p>
    <w:p>
      <w:r>
        <w:t xml:space="preserve">• 每道题标注外设能力点：定时器、数码管、按键、串口、ADC、PWM、EEPROM 等。</w:t>
      </w:r>
    </w:p>
    <w:p>
      <w:r>
        <w:t xml:space="preserve">• 每个输出按可落地性、硬件完整性、接线正确性、代码可用性和调试价值评分。</w:t>
      </w:r>
    </w:p>
    <w:p>
      <w:r>
        <w:t xml:space="preserve">• 持续沉淀“题目 -&gt; 方案 -&gt; 代码 -&gt; 调试 -&gt; 评分”的闭环。</w:t>
      </w:r>
    </w:p>
    <w:p>
      <w:pPr>
        <w:pStyle w:val="Heading1"/>
      </w:pPr>
      <w:r>
        <w:t xml:space="preserve">8. 商业模式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商业模式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阶段 1</w:t>
            </w:r>
          </w:p>
        </w:tc>
        <w:tc>
          <w:tcPr>
            <w:tcW w:w="2400" w:type="dxa"/>
          </w:tcPr>
          <w:p>
            <w:r>
              <w:t xml:space="preserve">免费展示</w:t>
            </w:r>
          </w:p>
        </w:tc>
        <w:tc>
          <w:tcPr>
            <w:tcW w:w="2400" w:type="dxa"/>
          </w:tcPr>
          <w:p>
            <w:r>
              <w:t xml:space="preserve">用于个人品牌、Demo 展示和用户验证</w:t>
            </w:r>
          </w:p>
        </w:tc>
      </w:tr>
      <w:tr>
        <w:tc>
          <w:tcPr>
            <w:tcW w:w="2400" w:type="dxa"/>
          </w:tcPr>
          <w:p>
            <w:r>
              <w:t xml:space="preserve">阶段 2</w:t>
            </w:r>
          </w:p>
        </w:tc>
        <w:tc>
          <w:tcPr>
            <w:tcW w:w="2400" w:type="dxa"/>
          </w:tcPr>
          <w:p>
            <w:r>
              <w:t xml:space="preserve">象征性订阅</w:t>
            </w:r>
          </w:p>
        </w:tc>
        <w:tc>
          <w:tcPr>
            <w:tcW w:w="2400" w:type="dxa"/>
          </w:tcPr>
          <w:p>
            <w:r>
              <w:t xml:space="preserve">每日免费次数 + 手动开通订阅，验证付费意愿</w:t>
            </w:r>
          </w:p>
        </w:tc>
      </w:tr>
      <w:tr>
        <w:tc>
          <w:tcPr>
            <w:tcW w:w="2400" w:type="dxa"/>
          </w:tcPr>
          <w:p>
            <w:r>
              <w:t xml:space="preserve">阶段 3</w:t>
            </w:r>
          </w:p>
        </w:tc>
        <w:tc>
          <w:tcPr>
            <w:tcW w:w="2400" w:type="dxa"/>
          </w:tcPr>
          <w:p>
            <w:r>
              <w:t xml:space="preserve">竞赛训练包</w:t>
            </w:r>
          </w:p>
        </w:tc>
        <w:tc>
          <w:tcPr>
            <w:tcW w:w="2400" w:type="dxa"/>
          </w:tcPr>
          <w:p>
            <w:r>
              <w:t xml:space="preserve">蓝桥杯单片机组专项训练内容和 AI 辅助</w:t>
            </w:r>
          </w:p>
        </w:tc>
      </w:tr>
      <w:tr>
        <w:tc>
          <w:tcPr>
            <w:tcW w:w="2400" w:type="dxa"/>
          </w:tcPr>
          <w:p>
            <w:r>
              <w:t xml:space="preserve">阶段 4</w:t>
            </w:r>
          </w:p>
        </w:tc>
        <w:tc>
          <w:tcPr>
            <w:tcW w:w="2400" w:type="dxa"/>
          </w:tcPr>
          <w:p>
            <w:r>
              <w:t xml:space="preserve">项目落地包</w:t>
            </w:r>
          </w:p>
        </w:tc>
        <w:tc>
          <w:tcPr>
            <w:tcW w:w="2400" w:type="dxa"/>
          </w:tcPr>
          <w:p>
            <w:r>
              <w:t xml:space="preserve">课程设计、毕业设计、电子竞赛项目辅助</w:t>
            </w:r>
          </w:p>
        </w:tc>
      </w:tr>
      <w:tr>
        <w:tc>
          <w:tcPr>
            <w:tcW w:w="2400" w:type="dxa"/>
          </w:tcPr>
          <w:p>
            <w:r>
              <w:t xml:space="preserve">阶段 5</w:t>
            </w:r>
          </w:p>
        </w:tc>
        <w:tc>
          <w:tcPr>
            <w:tcW w:w="2400" w:type="dxa"/>
          </w:tcPr>
          <w:p>
            <w:r>
              <w:t xml:space="preserve">硬件推荐合作</w:t>
            </w:r>
          </w:p>
        </w:tc>
        <w:tc>
          <w:tcPr>
            <w:tcW w:w="2400" w:type="dxa"/>
          </w:tcPr>
          <w:p>
            <w:r>
              <w:t xml:space="preserve">淘宝搜索链接验证需求，后续接商家合作商品</w:t>
            </w:r>
          </w:p>
        </w:tc>
      </w:tr>
    </w:tbl>
    <w:p>
      <w:r>
        <w:t xml:space="preserve">第一阶段不建议急于接支付。更重要的是证明用户愿意反复使用，并且 AI 输出能显著提升项目落地效率。</w:t>
      </w:r>
    </w:p>
    <w:p>
      <w:pPr>
        <w:pStyle w:val="Heading1"/>
      </w:pPr>
      <w:r>
        <w:t xml:space="preserve">9. Go-to-Market 策略</w:t>
      </w:r>
    </w:p>
    <w:p>
      <w:r>
        <w:t xml:space="preserve">• 内容获客：通过 WordPress 发布蓝桥杯单片机组题解、STM32 标准库教程、竞赛项目复盘。</w:t>
      </w:r>
    </w:p>
    <w:p>
      <w:r>
        <w:t xml:space="preserve">• 案例获客：用 3 个演示案例展示产品能力：STM32 温度采集、ESP32 物联网节点、NXP RT1064 智能车控制。</w:t>
      </w:r>
    </w:p>
    <w:p>
      <w:r>
        <w:t xml:space="preserve">• 社群获客：面向高校电子协会、蓝桥杯备赛群、智能车交流群、嵌入式学习社群。</w:t>
      </w:r>
    </w:p>
    <w:p>
      <w:r>
        <w:t xml:space="preserve">• 合作获客：后续与淘宝硬件商家、培训内容方、课程设计服务方合作。</w:t>
      </w:r>
    </w:p>
    <w:p>
      <w:r>
        <w:t xml:space="preserve">• 个人品牌：以个人作品集展示技术可信度，提高投资人、用户和合作方信任。</w:t>
      </w:r>
    </w:p>
    <w:p>
      <w:pPr>
        <w:pStyle w:val="Heading1"/>
      </w:pPr>
      <w:r>
        <w:t xml:space="preserve">10. 90 天路线图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时间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交付物</w:t>
            </w:r>
          </w:p>
        </w:tc>
      </w:tr>
      <w:tr>
        <w:tc>
          <w:tcPr>
            <w:tcW w:w="2400" w:type="dxa"/>
          </w:tcPr>
          <w:p>
            <w:r>
              <w:t xml:space="preserve">第 1-2 周</w:t>
            </w:r>
          </w:p>
        </w:tc>
        <w:tc>
          <w:tcPr>
            <w:tcW w:w="2400" w:type="dxa"/>
          </w:tcPr>
          <w:p>
            <w:r>
              <w:t xml:space="preserve">安全与部署基线</w:t>
            </w:r>
          </w:p>
        </w:tc>
        <w:tc>
          <w:tcPr>
            <w:tcW w:w="2400" w:type="dxa"/>
          </w:tcPr>
          <w:p>
            <w:r>
              <w:t xml:space="preserve">.gitignore、安全基线、Nginx 路由、文档定稿</w:t>
            </w:r>
          </w:p>
        </w:tc>
      </w:tr>
      <w:tr>
        <w:tc>
          <w:tcPr>
            <w:tcW w:w="2400" w:type="dxa"/>
          </w:tcPr>
          <w:p>
            <w:r>
              <w:t xml:space="preserve">第 3-4 周</w:t>
            </w:r>
          </w:p>
        </w:tc>
        <w:tc>
          <w:tcPr>
            <w:tcW w:w="2400" w:type="dxa"/>
          </w:tcPr>
          <w:p>
            <w:r>
              <w:t xml:space="preserve">后端闭环</w:t>
            </w:r>
          </w:p>
        </w:tc>
        <w:tc>
          <w:tcPr>
            <w:tcW w:w="2400" w:type="dxa"/>
          </w:tcPr>
          <w:p>
            <w:r>
              <w:t xml:space="preserve">FastAPI、Postgres、GitHub 登录、用户和用量表</w:t>
            </w:r>
          </w:p>
        </w:tc>
      </w:tr>
      <w:tr>
        <w:tc>
          <w:tcPr>
            <w:tcW w:w="2400" w:type="dxa"/>
          </w:tcPr>
          <w:p>
            <w:r>
              <w:t xml:space="preserve">第 5-6 周</w:t>
            </w:r>
          </w:p>
        </w:tc>
        <w:tc>
          <w:tcPr>
            <w:tcW w:w="2400" w:type="dxa"/>
          </w:tcPr>
          <w:p>
            <w:r>
              <w:t xml:space="preserve">AI 方案生成</w:t>
            </w:r>
          </w:p>
        </w:tc>
        <w:tc>
          <w:tcPr>
            <w:tcW w:w="2400" w:type="dxa"/>
          </w:tcPr>
          <w:p>
            <w:r>
              <w:t xml:space="preserve">结构化输出、淘宝搜索链接、STM32 标准库输出</w:t>
            </w:r>
          </w:p>
        </w:tc>
      </w:tr>
      <w:tr>
        <w:tc>
          <w:tcPr>
            <w:tcW w:w="2400" w:type="dxa"/>
          </w:tcPr>
          <w:p>
            <w:r>
              <w:t xml:space="preserve">第 7-8 周</w:t>
            </w:r>
          </w:p>
        </w:tc>
        <w:tc>
          <w:tcPr>
            <w:tcW w:w="2400" w:type="dxa"/>
          </w:tcPr>
          <w:p>
            <w:r>
              <w:t xml:space="preserve">蓝桥杯测试集</w:t>
            </w:r>
          </w:p>
        </w:tc>
        <w:tc>
          <w:tcPr>
            <w:tcW w:w="2400" w:type="dxa"/>
          </w:tcPr>
          <w:p>
            <w:r>
              <w:t xml:space="preserve">.doc 题目整理、能力点标注、评分表</w:t>
            </w:r>
          </w:p>
        </w:tc>
      </w:tr>
      <w:tr>
        <w:tc>
          <w:tcPr>
            <w:tcW w:w="2400" w:type="dxa"/>
          </w:tcPr>
          <w:p>
            <w:r>
              <w:t xml:space="preserve">第 9-10 周</w:t>
            </w:r>
          </w:p>
        </w:tc>
        <w:tc>
          <w:tcPr>
            <w:tcW w:w="2400" w:type="dxa"/>
          </w:tcPr>
          <w:p>
            <w:r>
              <w:t xml:space="preserve">多主控支持</w:t>
            </w:r>
          </w:p>
        </w:tc>
        <w:tc>
          <w:tcPr>
            <w:tcW w:w="2400" w:type="dxa"/>
          </w:tcPr>
          <w:p>
            <w:r>
              <w:t xml:space="preserve">ESP32 Arduino、NXP MCUXpresso SDK、调试助手</w:t>
            </w:r>
          </w:p>
        </w:tc>
      </w:tr>
      <w:tr>
        <w:tc>
          <w:tcPr>
            <w:tcW w:w="2400" w:type="dxa"/>
          </w:tcPr>
          <w:p>
            <w:r>
              <w:t xml:space="preserve">第 11-12 周</w:t>
            </w:r>
          </w:p>
        </w:tc>
        <w:tc>
          <w:tcPr>
            <w:tcW w:w="2400" w:type="dxa"/>
          </w:tcPr>
          <w:p>
            <w:r>
              <w:t xml:space="preserve">展示与运营</w:t>
            </w:r>
          </w:p>
        </w:tc>
        <w:tc>
          <w:tcPr>
            <w:tcW w:w="2400" w:type="dxa"/>
          </w:tcPr>
          <w:p>
            <w:r>
              <w:t xml:space="preserve">前端入口、管理后台、3 个 Demo、产品介绍页</w:t>
            </w:r>
          </w:p>
        </w:tc>
      </w:tr>
    </w:tbl>
    <w:p>
      <w:pPr>
        <w:pStyle w:val="Heading1"/>
      </w:pPr>
      <w:r>
        <w:t xml:space="preserve">11. 融资需求与资金用途</w:t>
      </w:r>
    </w:p>
    <w:p>
      <w:r>
        <w:t xml:space="preserve">建议以天使轮或种子轮方式启动，融资目标可根据实际资源选择小额验证型融资。资金重点不应投入重训练模型，而应投入产品闭环、数据集、案例库、内容获客和更稳定的模型服务。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比例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产品开发</w:t>
            </w:r>
          </w:p>
        </w:tc>
        <w:tc>
          <w:tcPr>
            <w:tcW w:w="2400" w:type="dxa"/>
          </w:tcPr>
          <w:p>
            <w:r>
              <w:t xml:space="preserve">35%</w:t>
            </w:r>
          </w:p>
        </w:tc>
        <w:tc>
          <w:tcPr>
            <w:tcW w:w="2400" w:type="dxa"/>
          </w:tcPr>
          <w:p>
            <w:r>
              <w:t xml:space="preserve">FastAPI、前端、管理后台、模型网关、部署稳定性</w:t>
            </w:r>
          </w:p>
        </w:tc>
      </w:tr>
      <w:tr>
        <w:tc>
          <w:tcPr>
            <w:tcW w:w="2400" w:type="dxa"/>
          </w:tcPr>
          <w:p>
            <w:r>
              <w:t xml:space="preserve">数据与评测</w:t>
            </w:r>
          </w:p>
        </w:tc>
        <w:tc>
          <w:tcPr>
            <w:tcW w:w="2400" w:type="dxa"/>
          </w:tcPr>
          <w:p>
            <w:r>
              <w:t xml:space="preserve">20%</w:t>
            </w:r>
          </w:p>
        </w:tc>
        <w:tc>
          <w:tcPr>
            <w:tcW w:w="2400" w:type="dxa"/>
          </w:tcPr>
          <w:p>
            <w:r>
              <w:t xml:space="preserve">蓝桥杯题目整理、人工标注、案例库和评分体系</w:t>
            </w:r>
          </w:p>
        </w:tc>
      </w:tr>
      <w:tr>
        <w:tc>
          <w:tcPr>
            <w:tcW w:w="2400" w:type="dxa"/>
          </w:tcPr>
          <w:p>
            <w:r>
              <w:t xml:space="preserve">模型与算力</w:t>
            </w:r>
          </w:p>
        </w:tc>
        <w:tc>
          <w:tcPr>
            <w:tcW w:w="2400" w:type="dxa"/>
          </w:tcPr>
          <w:p>
            <w:r>
              <w:t xml:space="preserve">20%</w:t>
            </w:r>
          </w:p>
        </w:tc>
        <w:tc>
          <w:tcPr>
            <w:tcW w:w="2400" w:type="dxa"/>
          </w:tcPr>
          <w:p>
            <w:r>
              <w:t xml:space="preserve">云端模型 API、后续更强服务器或推理资源</w:t>
            </w:r>
          </w:p>
        </w:tc>
      </w:tr>
      <w:tr>
        <w:tc>
          <w:tcPr>
            <w:tcW w:w="2400" w:type="dxa"/>
          </w:tcPr>
          <w:p>
            <w:r>
              <w:t xml:space="preserve">内容与获客</w:t>
            </w:r>
          </w:p>
        </w:tc>
        <w:tc>
          <w:tcPr>
            <w:tcW w:w="2400" w:type="dxa"/>
          </w:tcPr>
          <w:p>
            <w:r>
              <w:t xml:space="preserve">15%</w:t>
            </w:r>
          </w:p>
        </w:tc>
        <w:tc>
          <w:tcPr>
            <w:tcW w:w="2400" w:type="dxa"/>
          </w:tcPr>
          <w:p>
            <w:r>
              <w:t xml:space="preserve">教程、题解、Demo 视频、社群运营</w:t>
            </w:r>
          </w:p>
        </w:tc>
      </w:tr>
      <w:tr>
        <w:tc>
          <w:tcPr>
            <w:tcW w:w="2400" w:type="dxa"/>
          </w:tcPr>
          <w:p>
            <w:r>
              <w:t xml:space="preserve">合规与安全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账号安全、内容边界、数据备份、服务器安全</w:t>
            </w:r>
          </w:p>
        </w:tc>
      </w:tr>
    </w:tbl>
    <w:p>
      <w:pPr>
        <w:pStyle w:val="Heading1"/>
      </w:pPr>
      <w:r>
        <w:t xml:space="preserve">12. 关键指标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核心指标</w:t>
            </w:r>
          </w:p>
        </w:tc>
      </w:tr>
      <w:tr>
        <w:tc>
          <w:tcPr>
            <w:tcW w:w="2400" w:type="dxa"/>
          </w:tcPr>
          <w:p>
            <w:r>
              <w:t xml:space="preserve">MVP</w:t>
            </w:r>
          </w:p>
        </w:tc>
        <w:tc>
          <w:tcPr>
            <w:tcW w:w="2400" w:type="dxa"/>
          </w:tcPr>
          <w:p>
            <w:r>
              <w:t xml:space="preserve">完成 3 个演示案例；蓝桥杯题目输出达标率超过 70%；站点可稳定访问</w:t>
            </w:r>
          </w:p>
        </w:tc>
      </w:tr>
      <w:tr>
        <w:tc>
          <w:tcPr>
            <w:tcW w:w="2400" w:type="dxa"/>
          </w:tcPr>
          <w:p>
            <w:r>
              <w:t xml:space="preserve">用户验证</w:t>
            </w:r>
          </w:p>
        </w:tc>
        <w:tc>
          <w:tcPr>
            <w:tcW w:w="2400" w:type="dxa"/>
          </w:tcPr>
          <w:p>
            <w:r>
              <w:t xml:space="preserve">首批 50-100 名目标用户试用；周留存、重复提问率、方案采纳反馈</w:t>
            </w:r>
          </w:p>
        </w:tc>
      </w:tr>
      <w:tr>
        <w:tc>
          <w:tcPr>
            <w:tcW w:w="2400" w:type="dxa"/>
          </w:tcPr>
          <w:p>
            <w:r>
              <w:t xml:space="preserve">商业验证</w:t>
            </w:r>
          </w:p>
        </w:tc>
        <w:tc>
          <w:tcPr>
            <w:tcW w:w="2400" w:type="dxa"/>
          </w:tcPr>
          <w:p>
            <w:r>
              <w:t xml:space="preserve">出现订阅意向、项目辅导需求或硬件购买点击行为</w:t>
            </w:r>
          </w:p>
        </w:tc>
      </w:tr>
      <w:tr>
        <w:tc>
          <w:tcPr>
            <w:tcW w:w="2400" w:type="dxa"/>
          </w:tcPr>
          <w:p>
            <w:r>
              <w:t xml:space="preserve">扩展验证</w:t>
            </w:r>
          </w:p>
        </w:tc>
        <w:tc>
          <w:tcPr>
            <w:tcW w:w="2400" w:type="dxa"/>
          </w:tcPr>
          <w:p>
            <w:r>
              <w:t xml:space="preserve">电子设计竞赛和智能车案例可复用，内容带来自然流量</w:t>
            </w:r>
          </w:p>
        </w:tc>
      </w:tr>
    </w:tbl>
    <w:p>
      <w:pPr>
        <w:pStyle w:val="Heading1"/>
      </w:pPr>
      <w:r>
        <w:t xml:space="preserve">13. 风险与控制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风险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控制策略</w:t>
            </w:r>
          </w:p>
        </w:tc>
      </w:tr>
      <w:tr>
        <w:tc>
          <w:tcPr>
            <w:tcW w:w="2400" w:type="dxa"/>
          </w:tcPr>
          <w:p>
            <w:r>
              <w:t xml:space="preserve">模型幻觉导致接线或代码错误</w:t>
            </w:r>
          </w:p>
        </w:tc>
        <w:tc>
          <w:tcPr>
            <w:tcW w:w="2400" w:type="dxa"/>
          </w:tcPr>
          <w:p>
            <w:r>
              <w:t xml:space="preserve">结构化模板、规则校验、测试集评分、人工审核关键案例</w:t>
            </w:r>
          </w:p>
        </w:tc>
      </w:tr>
      <w:tr>
        <w:tc>
          <w:tcPr>
            <w:tcW w:w="2400" w:type="dxa"/>
          </w:tcPr>
          <w:p>
            <w:r>
              <w:t xml:space="preserve">ECS 资源不足</w:t>
            </w:r>
          </w:p>
        </w:tc>
        <w:tc>
          <w:tcPr>
            <w:tcW w:w="2400" w:type="dxa"/>
          </w:tcPr>
          <w:p>
            <w:r>
              <w:t xml:space="preserve">本地 Ollama 只做 Demo，生产使用可切换模型网关</w:t>
            </w:r>
          </w:p>
        </w:tc>
      </w:tr>
      <w:tr>
        <w:tc>
          <w:tcPr>
            <w:tcW w:w="2400" w:type="dxa"/>
          </w:tcPr>
          <w:p>
            <w:r>
              <w:t xml:space="preserve">被误解为代做竞赛</w:t>
            </w:r>
          </w:p>
        </w:tc>
        <w:tc>
          <w:tcPr>
            <w:tcW w:w="2400" w:type="dxa"/>
          </w:tcPr>
          <w:p>
            <w:r>
              <w:t xml:space="preserve">定位为教学、训练、方案辅助和调试工具</w:t>
            </w:r>
          </w:p>
        </w:tc>
      </w:tr>
      <w:tr>
        <w:tc>
          <w:tcPr>
            <w:tcW w:w="2400" w:type="dxa"/>
          </w:tcPr>
          <w:p>
            <w:r>
              <w:t xml:space="preserve">淘宝链接失效或质量不可控</w:t>
            </w:r>
          </w:p>
        </w:tc>
        <w:tc>
          <w:tcPr>
            <w:tcW w:w="2400" w:type="dxa"/>
          </w:tcPr>
          <w:p>
            <w:r>
              <w:t xml:space="preserve">第一版只生成搜索链接，不承诺具体商品</w:t>
            </w:r>
          </w:p>
        </w:tc>
      </w:tr>
      <w:tr>
        <w:tc>
          <w:tcPr>
            <w:tcW w:w="2400" w:type="dxa"/>
          </w:tcPr>
          <w:p>
            <w:r>
              <w:t xml:space="preserve">通用大模型竞争</w:t>
            </w:r>
          </w:p>
        </w:tc>
        <w:tc>
          <w:tcPr>
            <w:tcW w:w="2400" w:type="dxa"/>
          </w:tcPr>
          <w:p>
            <w:r>
              <w:t xml:space="preserve">用垂直数据集、评测体系和嵌入式案例库建立差异化</w:t>
            </w:r>
          </w:p>
        </w:tc>
      </w:tr>
    </w:tbl>
    <w:p>
      <w:pPr>
        <w:pStyle w:val="Heading1"/>
      </w:pPr>
      <w:r>
        <w:t xml:space="preserve">14. 投资亮点</w:t>
      </w:r>
    </w:p>
    <w:p>
      <w:r>
        <w:t xml:space="preserve">• 垂直场景明确：从蓝桥杯单片机组切入，目标用户和需求清晰。</w:t>
      </w:r>
    </w:p>
    <w:p>
      <w:r>
        <w:t xml:space="preserve">• 结果导向强：用户需要的是项目成果，而不是泛聊天。</w:t>
      </w:r>
    </w:p>
    <w:p>
      <w:r>
        <w:t xml:space="preserve">• 个人品牌可承载冷启动：作品集、博客、Demo 和技术内容形成信任入口。</w:t>
      </w:r>
    </w:p>
    <w:p>
      <w:r>
        <w:t xml:space="preserve">• 数据资产可积累：题目、方案、代码、调试和评分能持续形成壁垒。</w:t>
      </w:r>
    </w:p>
    <w:p>
      <w:r>
        <w:t xml:space="preserve">• 商业路径自然：竞赛训练、课程设计、毕业设计、硬件推荐、高级模型服务。</w:t>
      </w:r>
    </w:p>
    <w:p>
      <w:pPr>
        <w:pStyle w:val="Heading1"/>
      </w:pPr>
      <w:r>
        <w:t xml:space="preserve">15. 当前结论</w:t>
      </w:r>
    </w:p>
    <w:p>
      <w:r>
        <w:t xml:space="preserve">该项目具备落地可能，适合以“小切口、强闭环、可展示”的方式推进。第一阶段应集中资源打穿蓝桥杯单片机组，证明 AI 能帮助用户更快完成真实嵌入式项目。只要能持续降低模型幻觉、提高代码可用性并沉淀测试集，后续有机会扩展到电子设计竞赛、智能车和更广泛的嵌入式 AI 教育市场。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  <w:pPr>
      <w:spacing w:after="160" w:line="300" w:lineRule="auto"/>
    </w:pPr>
  </w:style>
  <w:style w:type="paragraph" w:styleId="Title">
    <w:name w:val="Title"/>
    <w:rPr>
      <w:rFonts w:ascii="Arial" w:eastAsia="Microsoft YaHei"/>
      <w:b/>
      <w:sz w:val="40"/>
    </w:rPr>
    <w:pPr>
      <w:spacing w:after="300"/>
    </w:pPr>
  </w:style>
  <w:style w:type="paragraph" w:styleId="Subtitle">
    <w:name w:val="Subtitle"/>
    <w:rPr>
      <w:rFonts w:ascii="Arial" w:eastAsia="Microsoft YaHei"/>
      <w:sz w:val="28"/>
    </w:rPr>
    <w:pPr>
      <w:spacing w:after="240"/>
    </w:pPr>
  </w:style>
  <w:style w:type="paragraph" w:styleId="Heading1">
    <w:name w:val="heading 1"/>
    <w:basedOn w:val="Normal"/>
    <w:next w:val="Normal"/>
    <w:rPr>
      <w:rFonts w:ascii="Arial" w:eastAsia="Microsoft YaHei"/>
      <w:b/>
      <w:sz w:val="30"/>
    </w:rPr>
    <w:pPr>
      <w:spacing w:before="360" w:after="180"/>
    </w:pPr>
  </w:style>
  <w:style w:type="paragraph" w:styleId="Heading2">
    <w:name w:val="heading 2"/>
    <w:basedOn w:val="Normal"/>
    <w:next w:val="Normal"/>
    <w:rPr>
      <w:rFonts w:ascii="Arial" w:eastAsia="Microsoft YaHei"/>
      <w:b/>
      <w:sz w:val="26"/>
    </w:rPr>
    <w:pPr>
      <w:spacing w:before="240" w:after="16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