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运动想象脑机接口项目工作总结</w:t>
      </w:r>
    </w:p>
    <w:p>
      <w:pPr>
        <w:pStyle w:val="Subtitle"/>
      </w:pPr>
      <w:r>
        <w:t>inhouse_bci_raspy 数据适配与五折实验记录</w:t>
      </w:r>
    </w:p>
    <w:p>
      <w:r>
        <w:t>记录日期 2026年9月10日    面向项目复现与后续实验</w:t>
      </w:r>
    </w:p>
    <w:p>
      <w:pPr>
        <w:pStyle w:val="Heading2"/>
      </w:pPr>
      <w:r>
        <w:t>工作结论</w:t>
      </w:r>
    </w:p>
    <w:p>
      <w:r>
        <w:t>我们已将原项目的数据转换和清洗流程与 GitClone 中的 EEGNet、训练循环及五折切分整合，完成从 BrainVision 数据到训练结果、报告和通道 topomap 的完整链路。最终实验仅使用四类运动想象，三个 session 合并分折，并保持每轮训练与验证的 trial 独立。</w:t>
      </w:r>
    </w:p>
    <w:p>
      <w:r>
        <w:t>235 个清洗后 trial 的合并验证窗口准确率为 54.40%，概率平均后的 trial 准确率为 69.79%。后续对照表明，跨时间窗口汇总是提升的主要来源。两种通道分析均将 C3、C4 排在首位，但消融影响与 kernel 系数能量表达不同含义。</w:t>
      </w:r>
    </w:p>
    <w:p>
      <w:r>
        <w:t>五折验证数据参与了早停与 checkpoint 选择，因此这些数字不是独立测试结果，也不是跨 session 泛化结果。</w:t>
      </w:r>
    </w:p>
    <w:p>
      <w:pPr>
        <w:pStyle w:val="Heading2"/>
      </w:pPr>
      <w:r>
        <w:t>本次工作如何推进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1757"/>
        <w:gridCol w:w="7880"/>
      </w:tblGrid>
      <w:tr>
        <w:trPr>
          <w:tblHeader/>
          <w:cantSplit/>
        </w:trPr>
        <w:tc>
          <w:tcPr>
            <w:tcW w:type="dxa" w:w="1757"/>
            <w:vAlign w:val="center"/>
            <w:shd w:fill="DCE6F1"/>
          </w:tcPr>
          <w:p>
            <w:pPr>
              <w:spacing w:after="0" w:line="269" w:lineRule="auto"/>
              <w:jc w:val="left"/>
            </w:pPr>
            <w:r>
              <w:rPr>
                <w:b/>
                <w:sz w:val="18"/>
              </w:rPr>
              <w:t>阶段</w:t>
            </w:r>
          </w:p>
        </w:tc>
        <w:tc>
          <w:tcPr>
            <w:tcW w:type="dxa" w:w="7880"/>
            <w:vAlign w:val="center"/>
            <w:shd w:fill="DCE6F1"/>
          </w:tcPr>
          <w:p>
            <w:pPr>
              <w:spacing w:after="0" w:line="269" w:lineRule="auto"/>
              <w:jc w:val="center"/>
            </w:pPr>
            <w:r>
              <w:rPr>
                <w:b/>
                <w:sz w:val="18"/>
              </w:rPr>
              <w:t>完成的工作</w:t>
            </w:r>
          </w:p>
        </w:tc>
      </w:tr>
      <w:tr>
        <w:trPr>
          <w:cantSplit/>
        </w:trPr>
        <w:tc>
          <w:tcPr>
            <w:tcW w:type="dxa" w:w="1757"/>
            <w:vAlign w:val="center"/>
            <w:shd w:fill="FFFFFF"/>
          </w:tcPr>
          <w:p>
            <w:pPr>
              <w:spacing w:after="0" w:line="269" w:lineRule="auto"/>
              <w:jc w:val="left"/>
            </w:pPr>
            <w:r>
              <w:rPr>
                <w:b w:val="0"/>
                <w:sz w:val="18"/>
              </w:rPr>
              <w:t>确定数据范围</w:t>
            </w:r>
          </w:p>
        </w:tc>
        <w:tc>
          <w:tcPr>
            <w:tcW w:type="dxa" w:w="7880"/>
            <w:vAlign w:val="center"/>
            <w:shd w:fill="FFFFFF"/>
          </w:tcPr>
          <w:p>
            <w:pPr>
              <w:spacing w:after="0" w:line="269" w:lineRule="auto"/>
              <w:jc w:val="left"/>
            </w:pPr>
            <w:r>
              <w:rPr>
                <w:b w:val="0"/>
                <w:sz w:val="18"/>
              </w:rPr>
              <w:t>明确 marker 语义，仅纳入 5–8；首次 99 作为 trial 结束。</w:t>
            </w:r>
          </w:p>
        </w:tc>
      </w:tr>
      <w:tr>
        <w:trPr>
          <w:cantSplit/>
        </w:trPr>
        <w:tc>
          <w:tcPr>
            <w:tcW w:type="dxa" w:w="1757"/>
            <w:vAlign w:val="center"/>
            <w:shd w:fill="F5F7FA"/>
          </w:tcPr>
          <w:p>
            <w:pPr>
              <w:spacing w:after="0" w:line="269" w:lineRule="auto"/>
              <w:jc w:val="left"/>
            </w:pPr>
            <w:r>
              <w:rPr>
                <w:b w:val="0"/>
                <w:sz w:val="18"/>
              </w:rPr>
              <w:t>明确整合方案</w:t>
            </w:r>
          </w:p>
        </w:tc>
        <w:tc>
          <w:tcPr>
            <w:tcW w:type="dxa" w:w="7880"/>
            <w:vAlign w:val="center"/>
            <w:shd w:fill="F5F7FA"/>
          </w:tcPr>
          <w:p>
            <w:pPr>
              <w:spacing w:after="0" w:line="269" w:lineRule="auto"/>
              <w:jc w:val="left"/>
            </w:pPr>
            <w:r>
              <w:rPr>
                <w:b w:val="0"/>
                <w:sz w:val="18"/>
              </w:rPr>
              <w:t>由原代码为主的跑通任务，调整为复用 GitClone 五折 protocol。</w:t>
            </w:r>
          </w:p>
        </w:tc>
      </w:tr>
      <w:tr>
        <w:trPr>
          <w:cantSplit/>
        </w:trPr>
        <w:tc>
          <w:tcPr>
            <w:tcW w:type="dxa" w:w="1757"/>
            <w:vAlign w:val="center"/>
            <w:shd w:fill="FFFFFF"/>
          </w:tcPr>
          <w:p>
            <w:pPr>
              <w:spacing w:after="0" w:line="269" w:lineRule="auto"/>
              <w:jc w:val="left"/>
            </w:pPr>
            <w:r>
              <w:rPr>
                <w:b w:val="0"/>
                <w:sz w:val="18"/>
              </w:rPr>
              <w:t>建立独立项目</w:t>
            </w:r>
          </w:p>
        </w:tc>
        <w:tc>
          <w:tcPr>
            <w:tcW w:type="dxa" w:w="7880"/>
            <w:vAlign w:val="center"/>
            <w:shd w:fill="FFFFFF"/>
          </w:tcPr>
          <w:p>
            <w:pPr>
              <w:spacing w:after="0" w:line="269" w:lineRule="auto"/>
              <w:jc w:val="left"/>
            </w:pPr>
            <w:r>
              <w:rPr>
                <w:b w:val="0"/>
                <w:sz w:val="18"/>
              </w:rPr>
              <w:t>新建 inhouse_bci_raspy，编写 requirements，迁移至 src 模块结构。</w:t>
            </w:r>
          </w:p>
        </w:tc>
      </w:tr>
      <w:tr>
        <w:trPr>
          <w:cantSplit/>
        </w:trPr>
        <w:tc>
          <w:tcPr>
            <w:tcW w:type="dxa" w:w="1757"/>
            <w:vAlign w:val="center"/>
            <w:shd w:fill="F5F7FA"/>
          </w:tcPr>
          <w:p>
            <w:pPr>
              <w:spacing w:after="0" w:line="269" w:lineRule="auto"/>
              <w:jc w:val="left"/>
            </w:pPr>
            <w:r>
              <w:rPr>
                <w:b w:val="0"/>
                <w:sz w:val="18"/>
              </w:rPr>
              <w:t>验证并运行</w:t>
            </w:r>
          </w:p>
        </w:tc>
        <w:tc>
          <w:tcPr>
            <w:tcW w:type="dxa" w:w="7880"/>
            <w:vAlign w:val="center"/>
            <w:shd w:fill="F5F7FA"/>
          </w:tcPr>
          <w:p>
            <w:pPr>
              <w:spacing w:after="0" w:line="269" w:lineRule="auto"/>
              <w:jc w:val="left"/>
            </w:pPr>
            <w:r>
              <w:rPr>
                <w:b w:val="0"/>
                <w:sz w:val="18"/>
              </w:rPr>
              <w:t>短程验证通过后运行正式五折，清理 smoke 结果，提供实时日志与 TensorBoard。</w:t>
            </w:r>
          </w:p>
        </w:tc>
      </w:tr>
      <w:tr>
        <w:trPr>
          <w:cantSplit/>
        </w:trPr>
        <w:tc>
          <w:tcPr>
            <w:tcW w:type="dxa" w:w="1757"/>
            <w:vAlign w:val="center"/>
            <w:shd w:fill="FFFFFF"/>
          </w:tcPr>
          <w:p>
            <w:pPr>
              <w:spacing w:after="0" w:line="269" w:lineRule="auto"/>
              <w:jc w:val="left"/>
            </w:pPr>
            <w:r>
              <w:rPr>
                <w:b w:val="0"/>
                <w:sz w:val="18"/>
              </w:rPr>
              <w:t>分析与解释</w:t>
            </w:r>
          </w:p>
        </w:tc>
        <w:tc>
          <w:tcPr>
            <w:tcW w:type="dxa" w:w="7880"/>
            <w:vAlign w:val="center"/>
            <w:shd w:fill="FFFFFF"/>
          </w:tcPr>
          <w:p>
            <w:pPr>
              <w:spacing w:after="0" w:line="269" w:lineRule="auto"/>
              <w:jc w:val="left"/>
            </w:pPr>
            <w:r>
              <w:rPr>
                <w:b w:val="0"/>
                <w:sz w:val="18"/>
              </w:rPr>
              <w:t>完成窗口与 trial 聚合诊断，实现消融 ΔR² 和 kernel 两种 topomap。</w:t>
            </w:r>
          </w:p>
        </w:tc>
      </w:tr>
    </w:tbl>
    <w:p>
      <w:pPr>
        <w:pStyle w:val="Heading2"/>
      </w:pPr>
      <w:r>
        <w:t>本次交付</w:t>
      </w:r>
    </w:p>
    <w:p>
      <w:r>
        <w:t>独立运行的项目代码、环境依赖清单、数据与切分缓存、五折 checkpoint 与指标、聚合分析报告、19 组 PNG/PDF 通道图，以及相应 CSV、NPZ、溯源元数据和测试。没有重新定义训练算法，也没有新增独立基线模型实验。</w:t>
      </w:r>
    </w:p>
    <w:p>
      <w:pPr>
        <w:pStyle w:val="Heading2"/>
      </w:pPr>
      <w:r>
        <w:t>兼容性处理</w:t>
      </w:r>
    </w:p>
    <w:p>
      <w:r>
        <w:t>兼容修正包括 np.Inf 改为 np.inf、移除已不支持的 scheduler verbose 参数、删除未使用的 torchvision 导入。原 BatchNorm2d(F1, False) 实际把 eps 设为 0，现显式使用 eps=1e−5；该数值修正已有记录，不声称与原错误设置逐数值等价。</w:t>
      </w:r>
    </w:p>
    <w:p>
      <w:pPr>
        <w:pStyle w:val="Heading1"/>
        <w:pageBreakBefore/>
      </w:pPr>
      <w:r>
        <w:t>数据定义与预处理</w:t>
      </w:r>
    </w:p>
    <w:p>
      <w:pPr>
        <w:pStyle w:val="Heading2"/>
      </w:pPr>
      <w:r>
        <w:t>事件与纳入规则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1247"/>
        <w:gridCol w:w="4876"/>
        <w:gridCol w:w="3515"/>
      </w:tblGrid>
      <w:tr>
        <w:trPr>
          <w:tblHeader/>
          <w:cantSplit/>
        </w:trPr>
        <w:tc>
          <w:tcPr>
            <w:tcW w:type="dxa" w:w="1247"/>
            <w:vAlign w:val="center"/>
            <w:shd w:fill="DCE6F1"/>
          </w:tcPr>
          <w:p>
            <w:pPr>
              <w:spacing w:after="0" w:line="269" w:lineRule="auto"/>
              <w:jc w:val="left"/>
            </w:pPr>
            <w:r>
              <w:rPr>
                <w:b/>
                <w:sz w:val="18"/>
              </w:rPr>
              <w:t>Marker</w:t>
            </w:r>
          </w:p>
        </w:tc>
        <w:tc>
          <w:tcPr>
            <w:tcW w:type="dxa" w:w="4876"/>
            <w:vAlign w:val="center"/>
            <w:shd w:fill="DCE6F1"/>
          </w:tcPr>
          <w:p>
            <w:pPr>
              <w:spacing w:after="0" w:line="269" w:lineRule="auto"/>
              <w:jc w:val="center"/>
            </w:pPr>
            <w:r>
              <w:rPr>
                <w:b/>
                <w:sz w:val="18"/>
              </w:rPr>
              <w:t>语义</w:t>
            </w:r>
          </w:p>
        </w:tc>
        <w:tc>
          <w:tcPr>
            <w:tcW w:type="dxa" w:w="3515"/>
            <w:vAlign w:val="center"/>
            <w:shd w:fill="DCE6F1"/>
          </w:tcPr>
          <w:p>
            <w:pPr>
              <w:spacing w:after="0" w:line="269" w:lineRule="auto"/>
              <w:jc w:val="center"/>
            </w:pPr>
            <w:r>
              <w:rPr>
                <w:b/>
                <w:sz w:val="18"/>
              </w:rPr>
              <w:t>本次处理</w:t>
            </w:r>
          </w:p>
        </w:tc>
      </w:tr>
      <w:tr>
        <w:trPr>
          <w:cantSplit/>
        </w:trPr>
        <w:tc>
          <w:tcPr>
            <w:tcW w:type="dxa" w:w="1247"/>
            <w:vAlign w:val="center"/>
            <w:shd w:fill="FFFFFF"/>
          </w:tcPr>
          <w:p>
            <w:pPr>
              <w:spacing w:after="0" w:line="269" w:lineRule="auto"/>
              <w:jc w:val="left"/>
            </w:pPr>
            <w:r>
              <w:rPr>
                <w:b w:val="0"/>
                <w:sz w:val="18"/>
              </w:rPr>
              <w:t>1–4</w:t>
            </w:r>
          </w:p>
        </w:tc>
        <w:tc>
          <w:tcPr>
            <w:tcW w:type="dxa" w:w="4876"/>
            <w:vAlign w:val="center"/>
            <w:shd w:fill="FFFFFF"/>
          </w:tcPr>
          <w:p>
            <w:pPr>
              <w:spacing w:after="0" w:line="269" w:lineRule="auto"/>
              <w:jc w:val="center"/>
            </w:pPr>
            <w:r>
              <w:rPr>
                <w:b w:val="0"/>
                <w:sz w:val="18"/>
              </w:rPr>
              <w:t>左手 右手 双手 双脚运动执行</w:t>
            </w:r>
          </w:p>
        </w:tc>
        <w:tc>
          <w:tcPr>
            <w:tcW w:type="dxa" w:w="3515"/>
            <w:vAlign w:val="center"/>
            <w:shd w:fill="FFFFFF"/>
          </w:tcPr>
          <w:p>
            <w:pPr>
              <w:spacing w:after="0" w:line="269" w:lineRule="auto"/>
              <w:jc w:val="center"/>
            </w:pPr>
            <w:r>
              <w:rPr>
                <w:b w:val="0"/>
                <w:sz w:val="18"/>
              </w:rPr>
              <w:t>排除</w:t>
            </w:r>
          </w:p>
        </w:tc>
      </w:tr>
      <w:tr>
        <w:trPr>
          <w:cantSplit/>
        </w:trPr>
        <w:tc>
          <w:tcPr>
            <w:tcW w:type="dxa" w:w="1247"/>
            <w:vAlign w:val="center"/>
            <w:shd w:fill="F5F7FA"/>
          </w:tcPr>
          <w:p>
            <w:pPr>
              <w:spacing w:after="0" w:line="269" w:lineRule="auto"/>
              <w:jc w:val="left"/>
            </w:pPr>
            <w:r>
              <w:rPr>
                <w:b w:val="0"/>
                <w:sz w:val="18"/>
              </w:rPr>
              <w:t>5–8</w:t>
            </w:r>
          </w:p>
        </w:tc>
        <w:tc>
          <w:tcPr>
            <w:tcW w:type="dxa" w:w="4876"/>
            <w:vAlign w:val="center"/>
            <w:shd w:fill="F5F7FA"/>
          </w:tcPr>
          <w:p>
            <w:pPr>
              <w:spacing w:after="0" w:line="269" w:lineRule="auto"/>
              <w:jc w:val="center"/>
            </w:pPr>
            <w:r>
              <w:rPr>
                <w:b w:val="0"/>
                <w:sz w:val="18"/>
              </w:rPr>
              <w:t>左手 右手 双手 双脚运动想象</w:t>
            </w:r>
          </w:p>
        </w:tc>
        <w:tc>
          <w:tcPr>
            <w:tcW w:type="dxa" w:w="3515"/>
            <w:vAlign w:val="center"/>
            <w:shd w:fill="F5F7FA"/>
          </w:tcPr>
          <w:p>
            <w:pPr>
              <w:spacing w:after="0" w:line="269" w:lineRule="auto"/>
              <w:jc w:val="center"/>
            </w:pPr>
            <w:r>
              <w:rPr>
                <w:b w:val="0"/>
                <w:sz w:val="18"/>
              </w:rPr>
              <w:t>四分类标签</w:t>
            </w:r>
          </w:p>
        </w:tc>
      </w:tr>
      <w:tr>
        <w:trPr>
          <w:cantSplit/>
        </w:trPr>
        <w:tc>
          <w:tcPr>
            <w:tcW w:type="dxa" w:w="1247"/>
            <w:vAlign w:val="center"/>
            <w:shd w:fill="FFFFFF"/>
          </w:tcPr>
          <w:p>
            <w:pPr>
              <w:spacing w:after="0" w:line="269" w:lineRule="auto"/>
              <w:jc w:val="left"/>
            </w:pPr>
            <w:r>
              <w:rPr>
                <w:b w:val="0"/>
                <w:sz w:val="18"/>
              </w:rPr>
              <w:t>99</w:t>
            </w:r>
          </w:p>
        </w:tc>
        <w:tc>
          <w:tcPr>
            <w:tcW w:type="dxa" w:w="4876"/>
            <w:vAlign w:val="center"/>
            <w:shd w:fill="FFFFFF"/>
          </w:tcPr>
          <w:p>
            <w:pPr>
              <w:spacing w:after="0" w:line="269" w:lineRule="auto"/>
              <w:jc w:val="center"/>
            </w:pPr>
            <w:r>
              <w:rPr>
                <w:b w:val="0"/>
                <w:sz w:val="18"/>
              </w:rPr>
              <w:t>一次采集 trial 结束</w:t>
            </w:r>
          </w:p>
        </w:tc>
        <w:tc>
          <w:tcPr>
            <w:tcW w:type="dxa" w:w="3515"/>
            <w:vAlign w:val="center"/>
            <w:shd w:fill="FFFFFF"/>
          </w:tcPr>
          <w:p>
            <w:pPr>
              <w:spacing w:after="0" w:line="269" w:lineRule="auto"/>
              <w:jc w:val="center"/>
            </w:pPr>
            <w:r>
              <w:rPr>
                <w:b w:val="0"/>
                <w:sz w:val="18"/>
              </w:rPr>
              <w:t>首次出现即结束 后续 99 不重复计入</w:t>
            </w:r>
          </w:p>
        </w:tc>
      </w:tr>
    </w:tbl>
    <w:p>
      <w:pPr>
        <w:spacing w:before="120"/>
      </w:pPr>
      <w:r>
        <w:t>模型内部类别顺序固定为 0 左手、1 右手、2 双手、3 双脚运动想象，对应采集 marker 5、6、7、8。运动执行 trial 未混入这次训练。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268"/>
        <w:gridCol w:w="3685"/>
        <w:gridCol w:w="3685"/>
      </w:tblGrid>
      <w:tr>
        <w:trPr>
          <w:tblHeader/>
          <w:cantSplit/>
        </w:trPr>
        <w:tc>
          <w:tcPr>
            <w:tcW w:type="dxa" w:w="2268"/>
            <w:vAlign w:val="center"/>
            <w:shd w:fill="DCE6F1"/>
          </w:tcPr>
          <w:p>
            <w:pPr>
              <w:spacing w:after="0" w:line="269" w:lineRule="auto"/>
              <w:jc w:val="left"/>
            </w:pPr>
            <w:r>
              <w:rPr>
                <w:b/>
                <w:sz w:val="18"/>
              </w:rPr>
              <w:t>Session</w:t>
            </w:r>
          </w:p>
        </w:tc>
        <w:tc>
          <w:tcPr>
            <w:tcW w:type="dxa" w:w="3685"/>
            <w:vAlign w:val="center"/>
            <w:shd w:fill="DCE6F1"/>
          </w:tcPr>
          <w:p>
            <w:pPr>
              <w:spacing w:after="0" w:line="269" w:lineRule="auto"/>
              <w:jc w:val="center"/>
            </w:pPr>
            <w:r>
              <w:rPr>
                <w:b/>
                <w:sz w:val="18"/>
              </w:rPr>
              <w:t>运动想象 trial 清洗前</w:t>
            </w:r>
          </w:p>
        </w:tc>
        <w:tc>
          <w:tcPr>
            <w:tcW w:type="dxa" w:w="3685"/>
            <w:vAlign w:val="center"/>
            <w:shd w:fill="DCE6F1"/>
          </w:tcPr>
          <w:p>
            <w:pPr>
              <w:spacing w:after="0" w:line="269" w:lineRule="auto"/>
              <w:jc w:val="center"/>
            </w:pPr>
            <w:r>
              <w:rPr>
                <w:b/>
                <w:sz w:val="18"/>
              </w:rPr>
              <w:t>清洗后</w:t>
            </w:r>
          </w:p>
        </w:tc>
      </w:tr>
      <w:tr>
        <w:trPr>
          <w:cantSplit/>
        </w:trPr>
        <w:tc>
          <w:tcPr>
            <w:tcW w:type="dxa" w:w="2268"/>
            <w:vAlign w:val="center"/>
            <w:shd w:fill="FFFFFF"/>
          </w:tcPr>
          <w:p>
            <w:pPr>
              <w:spacing w:after="0" w:line="269" w:lineRule="auto"/>
              <w:jc w:val="left"/>
            </w:pPr>
            <w:r>
              <w:rPr>
                <w:b w:val="0"/>
                <w:sz w:val="18"/>
              </w:rPr>
              <w:t>hyz_1</w:t>
            </w:r>
          </w:p>
        </w:tc>
        <w:tc>
          <w:tcPr>
            <w:tcW w:type="dxa" w:w="3685"/>
            <w:vAlign w:val="center"/>
            <w:shd w:fill="FFFFFF"/>
          </w:tcPr>
          <w:p>
            <w:pPr>
              <w:spacing w:after="0" w:line="269" w:lineRule="auto"/>
              <w:jc w:val="center"/>
            </w:pPr>
            <w:r>
              <w:rPr>
                <w:b w:val="0"/>
                <w:sz w:val="18"/>
              </w:rPr>
              <w:t>77</w:t>
            </w:r>
          </w:p>
        </w:tc>
        <w:tc>
          <w:tcPr>
            <w:tcW w:type="dxa" w:w="3685"/>
            <w:vAlign w:val="center"/>
            <w:shd w:fill="FFFFFF"/>
          </w:tcPr>
          <w:p>
            <w:pPr>
              <w:spacing w:after="0" w:line="269" w:lineRule="auto"/>
              <w:jc w:val="center"/>
            </w:pPr>
            <w:r>
              <w:rPr>
                <w:b w:val="0"/>
                <w:sz w:val="18"/>
              </w:rPr>
              <w:t>77</w:t>
            </w:r>
          </w:p>
        </w:tc>
      </w:tr>
      <w:tr>
        <w:trPr>
          <w:cantSplit/>
        </w:trPr>
        <w:tc>
          <w:tcPr>
            <w:tcW w:type="dxa" w:w="2268"/>
            <w:vAlign w:val="center"/>
            <w:shd w:fill="F5F7FA"/>
          </w:tcPr>
          <w:p>
            <w:pPr>
              <w:spacing w:after="0" w:line="269" w:lineRule="auto"/>
              <w:jc w:val="left"/>
            </w:pPr>
            <w:r>
              <w:rPr>
                <w:b w:val="0"/>
                <w:sz w:val="18"/>
              </w:rPr>
              <w:t>hyz_2</w:t>
            </w:r>
          </w:p>
        </w:tc>
        <w:tc>
          <w:tcPr>
            <w:tcW w:type="dxa" w:w="3685"/>
            <w:vAlign w:val="center"/>
            <w:shd w:fill="F5F7FA"/>
          </w:tcPr>
          <w:p>
            <w:pPr>
              <w:spacing w:after="0" w:line="269" w:lineRule="auto"/>
              <w:jc w:val="center"/>
            </w:pPr>
            <w:r>
              <w:rPr>
                <w:b w:val="0"/>
                <w:sz w:val="18"/>
              </w:rPr>
              <w:t>80</w:t>
            </w:r>
          </w:p>
        </w:tc>
        <w:tc>
          <w:tcPr>
            <w:tcW w:type="dxa" w:w="3685"/>
            <w:vAlign w:val="center"/>
            <w:shd w:fill="F5F7FA"/>
          </w:tcPr>
          <w:p>
            <w:pPr>
              <w:spacing w:after="0" w:line="269" w:lineRule="auto"/>
              <w:jc w:val="center"/>
            </w:pPr>
            <w:r>
              <w:rPr>
                <w:b w:val="0"/>
                <w:sz w:val="18"/>
              </w:rPr>
              <w:t>79</w:t>
            </w:r>
          </w:p>
        </w:tc>
      </w:tr>
      <w:tr>
        <w:trPr>
          <w:cantSplit/>
        </w:trPr>
        <w:tc>
          <w:tcPr>
            <w:tcW w:type="dxa" w:w="2268"/>
            <w:vAlign w:val="center"/>
            <w:shd w:fill="FFFFFF"/>
          </w:tcPr>
          <w:p>
            <w:pPr>
              <w:spacing w:after="0" w:line="269" w:lineRule="auto"/>
              <w:jc w:val="left"/>
            </w:pPr>
            <w:r>
              <w:rPr>
                <w:b w:val="0"/>
                <w:sz w:val="18"/>
              </w:rPr>
              <w:t>hyz_3</w:t>
            </w:r>
          </w:p>
        </w:tc>
        <w:tc>
          <w:tcPr>
            <w:tcW w:type="dxa" w:w="3685"/>
            <w:vAlign w:val="center"/>
            <w:shd w:fill="FFFFFF"/>
          </w:tcPr>
          <w:p>
            <w:pPr>
              <w:spacing w:after="0" w:line="269" w:lineRule="auto"/>
              <w:jc w:val="center"/>
            </w:pPr>
            <w:r>
              <w:rPr>
                <w:b w:val="0"/>
                <w:sz w:val="18"/>
              </w:rPr>
              <w:t>80</w:t>
            </w:r>
          </w:p>
        </w:tc>
        <w:tc>
          <w:tcPr>
            <w:tcW w:type="dxa" w:w="3685"/>
            <w:vAlign w:val="center"/>
            <w:shd w:fill="FFFFFF"/>
          </w:tcPr>
          <w:p>
            <w:pPr>
              <w:spacing w:after="0" w:line="269" w:lineRule="auto"/>
              <w:jc w:val="center"/>
            </w:pPr>
            <w:r>
              <w:rPr>
                <w:b w:val="0"/>
                <w:sz w:val="18"/>
              </w:rPr>
              <w:t>79</w:t>
            </w:r>
          </w:p>
        </w:tc>
      </w:tr>
      <w:tr>
        <w:trPr>
          <w:cantSplit/>
        </w:trPr>
        <w:tc>
          <w:tcPr>
            <w:tcW w:type="dxa" w:w="2268"/>
            <w:vAlign w:val="center"/>
            <w:shd w:fill="F5F7FA"/>
          </w:tcPr>
          <w:p>
            <w:pPr>
              <w:spacing w:after="0" w:line="269" w:lineRule="auto"/>
              <w:jc w:val="left"/>
            </w:pPr>
            <w:r>
              <w:rPr>
                <w:b w:val="0"/>
                <w:sz w:val="18"/>
              </w:rPr>
              <w:t>合计</w:t>
            </w:r>
          </w:p>
        </w:tc>
        <w:tc>
          <w:tcPr>
            <w:tcW w:type="dxa" w:w="3685"/>
            <w:vAlign w:val="center"/>
            <w:shd w:fill="F5F7FA"/>
          </w:tcPr>
          <w:p>
            <w:pPr>
              <w:spacing w:after="0" w:line="269" w:lineRule="auto"/>
              <w:jc w:val="center"/>
            </w:pPr>
            <w:r>
              <w:rPr>
                <w:b w:val="0"/>
                <w:sz w:val="18"/>
              </w:rPr>
              <w:t>237</w:t>
            </w:r>
          </w:p>
        </w:tc>
        <w:tc>
          <w:tcPr>
            <w:tcW w:type="dxa" w:w="3685"/>
            <w:vAlign w:val="center"/>
            <w:shd w:fill="F5F7FA"/>
          </w:tcPr>
          <w:p>
            <w:pPr>
              <w:spacing w:after="0" w:line="269" w:lineRule="auto"/>
              <w:jc w:val="center"/>
            </w:pPr>
            <w:r>
              <w:rPr>
                <w:b w:val="0"/>
                <w:sz w:val="18"/>
              </w:rPr>
              <w:t>235</w:t>
            </w:r>
          </w:p>
        </w:tc>
      </w:tr>
    </w:tbl>
    <w:p>
      <w:pPr>
        <w:spacing w:before="120"/>
      </w:pPr>
      <w:r>
        <w:t>清洗后四类 trial 数依次为 58、58、60、59。采样率为 250 Hz，包含 16 个 EEG 通道；加速度等 misc 通道不进入分类器。</w:t>
      </w:r>
    </w:p>
    <w:p>
      <w:r>
        <w:t>EEG 顺序为 Fp1、Fz、F3、F4、F7、F8、Cz、C3、C4、T7、T8、Pz、P3、P4、O1、O2。原始文件位于 data/hyz_1 至 data/hyz_3，各 session 由 .vhdr、.vmrk 和 .eeg 文件组成。</w:t>
      </w:r>
    </w:p>
    <w:p>
      <w:pPr>
        <w:pStyle w:val="Heading2"/>
      </w:pPr>
      <w:r>
        <w:t>保留原项目清洗设置</w:t>
      </w:r>
    </w:p>
    <w:p>
      <w:r>
        <w:t>使用 MNE BIDS Pipeline：平均参考，standard_1020 模板坐标，1–40 Hz 带通；分段范围为事件前 2 秒至事件后 5 秒，基线为 −2 至 0 秒；拒绝阈值为 500 μV。ICA 使用 Picard，10 个成分、decim 2，以 Fp1 作为眼动代理通道。清洗后再计算 CSD，生成 235 × 16 × 1751 的 trial 缓存。</w:t>
      </w:r>
    </w:p>
    <w:p>
      <w:r>
        <w:t>归一化与清洗的拟合范围不同：RMS 仅由该轮训练 trial 计算；ICA 等清理是在 session 内、分折之前完成。trial 无交集并不意味着全部预处理都进行了严格的折内拟合。</w:t>
      </w:r>
    </w:p>
    <w:p>
      <w:pPr>
        <w:pStyle w:val="Heading2"/>
      </w:pPr>
      <w:r>
        <w:t>保留的数据质量边界</w:t>
      </w:r>
    </w:p>
    <w:p>
      <w:r>
        <w:t>hyz_1 存在 7 个 LostSamples 标记，其中有一处与保留的运动想象 trial 重叠。本次未增加新的缺失片段排除策略，以维持原清洗逻辑；后续数据质量研究应单独评估此项影响。</w:t>
      </w:r>
    </w:p>
    <w:p>
      <w:pPr>
        <w:pStyle w:val="Heading1"/>
        <w:pageBreakBefore/>
      </w:pPr>
      <w:r>
        <w:t>代码整合与模型结构</w:t>
      </w:r>
    </w:p>
    <w:p>
      <w:r>
        <w:t>原项目的数据转换、清洗和窗口准备与 GitClone 的模型、训练及 trial 分折逻辑在独立目录中结合。Raspy 是包含采集、解码与控制的项目体系；本次实际训练的主体分类器仍是 EEGNet，不是另一种与 EEGNet 并列的网络。Kalman 方向控制不在本次任务范围内。</w:t>
      </w:r>
    </w:p>
    <w:p>
      <w:pPr>
        <w:pStyle w:val="Heading2"/>
      </w:pPr>
      <w:r>
        <w:t>模块分工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3005"/>
        <w:gridCol w:w="6633"/>
      </w:tblGrid>
      <w:tr>
        <w:trPr>
          <w:tblHeader/>
          <w:cantSplit/>
        </w:trPr>
        <w:tc>
          <w:tcPr>
            <w:tcW w:type="dxa" w:w="3005"/>
            <w:vAlign w:val="center"/>
            <w:shd w:fill="DCE6F1"/>
          </w:tcPr>
          <w:p>
            <w:pPr>
              <w:spacing w:after="0" w:line="269" w:lineRule="auto"/>
              <w:jc w:val="left"/>
            </w:pPr>
            <w:r>
              <w:rPr>
                <w:b/>
                <w:sz w:val="18"/>
              </w:rPr>
              <w:t>位置</w:t>
            </w:r>
          </w:p>
        </w:tc>
        <w:tc>
          <w:tcPr>
            <w:tcW w:type="dxa" w:w="6633"/>
            <w:vAlign w:val="center"/>
            <w:shd w:fill="DCE6F1"/>
          </w:tcPr>
          <w:p>
            <w:pPr>
              <w:spacing w:after="0" w:line="269" w:lineRule="auto"/>
              <w:jc w:val="center"/>
            </w:pPr>
            <w:r>
              <w:rPr>
                <w:b/>
                <w:sz w:val="18"/>
              </w:rPr>
              <w:t>职责</w:t>
            </w:r>
          </w:p>
        </w:tc>
      </w:tr>
      <w:tr>
        <w:trPr>
          <w:cantSplit/>
        </w:trPr>
        <w:tc>
          <w:tcPr>
            <w:tcW w:type="dxa" w:w="3005"/>
            <w:vAlign w:val="center"/>
            <w:shd w:fill="FFFFFF"/>
          </w:tcPr>
          <w:p>
            <w:pPr>
              <w:spacing w:after="0" w:line="269" w:lineRule="auto"/>
              <w:jc w:val="left"/>
            </w:pPr>
            <w:r>
              <w:rPr>
                <w:b w:val="0"/>
                <w:sz w:val="18"/>
              </w:rPr>
              <w:t>run.py 与 cli</w:t>
            </w:r>
          </w:p>
        </w:tc>
        <w:tc>
          <w:tcPr>
            <w:tcW w:type="dxa" w:w="6633"/>
            <w:vAlign w:val="center"/>
            <w:shd w:fill="FFFFFF"/>
          </w:tcPr>
          <w:p>
            <w:pPr>
              <w:spacing w:after="0" w:line="269" w:lineRule="auto"/>
              <w:jc w:val="left"/>
            </w:pPr>
            <w:r>
              <w:rPr>
                <w:b w:val="0"/>
                <w:sz w:val="18"/>
              </w:rPr>
              <w:t>选择 preprocess prepare train all smoke 阶段</w:t>
            </w:r>
          </w:p>
        </w:tc>
      </w:tr>
      <w:tr>
        <w:trPr>
          <w:cantSplit/>
        </w:trPr>
        <w:tc>
          <w:tcPr>
            <w:tcW w:type="dxa" w:w="3005"/>
            <w:vAlign w:val="center"/>
            <w:shd w:fill="F5F7FA"/>
          </w:tcPr>
          <w:p>
            <w:pPr>
              <w:spacing w:after="0" w:line="269" w:lineRule="auto"/>
              <w:jc w:val="left"/>
            </w:pPr>
            <w:r>
              <w:rPr>
                <w:b w:val="0"/>
                <w:sz w:val="18"/>
              </w:rPr>
              <w:t>preprocessing</w:t>
            </w:r>
          </w:p>
        </w:tc>
        <w:tc>
          <w:tcPr>
            <w:tcW w:type="dxa" w:w="6633"/>
            <w:vAlign w:val="center"/>
            <w:shd w:fill="F5F7FA"/>
          </w:tcPr>
          <w:p>
            <w:pPr>
              <w:spacing w:after="0" w:line="269" w:lineRule="auto"/>
              <w:jc w:val="center"/>
            </w:pPr>
            <w:r>
              <w:rPr>
                <w:b w:val="0"/>
                <w:sz w:val="18"/>
              </w:rPr>
              <w:t>BrainVision 转 BIDS 和 MNE 清洗</w:t>
            </w:r>
          </w:p>
        </w:tc>
      </w:tr>
      <w:tr>
        <w:trPr>
          <w:cantSplit/>
        </w:trPr>
        <w:tc>
          <w:tcPr>
            <w:tcW w:type="dxa" w:w="3005"/>
            <w:vAlign w:val="center"/>
            <w:shd w:fill="FFFFFF"/>
          </w:tcPr>
          <w:p>
            <w:pPr>
              <w:spacing w:after="0" w:line="269" w:lineRule="auto"/>
              <w:jc w:val="left"/>
            </w:pPr>
            <w:r>
              <w:rPr>
                <w:b w:val="0"/>
                <w:sz w:val="18"/>
              </w:rPr>
              <w:t>data</w:t>
            </w:r>
          </w:p>
        </w:tc>
        <w:tc>
          <w:tcPr>
            <w:tcW w:type="dxa" w:w="6633"/>
            <w:vAlign w:val="center"/>
            <w:shd w:fill="FFFFFF"/>
          </w:tcPr>
          <w:p>
            <w:pPr>
              <w:spacing w:after="0" w:line="269" w:lineRule="auto"/>
              <w:jc w:val="center"/>
            </w:pPr>
            <w:r>
              <w:rPr>
                <w:b w:val="0"/>
                <w:sz w:val="18"/>
              </w:rPr>
              <w:t>CSD 缓存 分折 训练折 RMS 窗口与增强</w:t>
            </w:r>
          </w:p>
        </w:tc>
      </w:tr>
      <w:tr>
        <w:trPr>
          <w:cantSplit/>
        </w:trPr>
        <w:tc>
          <w:tcPr>
            <w:tcW w:type="dxa" w:w="3005"/>
            <w:vAlign w:val="center"/>
            <w:shd w:fill="F5F7FA"/>
          </w:tcPr>
          <w:p>
            <w:pPr>
              <w:spacing w:after="0" w:line="269" w:lineRule="auto"/>
              <w:jc w:val="left"/>
            </w:pPr>
            <w:r>
              <w:rPr>
                <w:b w:val="0"/>
                <w:sz w:val="18"/>
              </w:rPr>
              <w:t>models</w:t>
            </w:r>
          </w:p>
        </w:tc>
        <w:tc>
          <w:tcPr>
            <w:tcW w:type="dxa" w:w="6633"/>
            <w:vAlign w:val="center"/>
            <w:shd w:fill="F5F7FA"/>
          </w:tcPr>
          <w:p>
            <w:pPr>
              <w:spacing w:after="0" w:line="269" w:lineRule="auto"/>
              <w:jc w:val="center"/>
            </w:pPr>
            <w:r>
              <w:rPr>
                <w:b w:val="0"/>
                <w:sz w:val="18"/>
              </w:rPr>
              <w:t>GitClone EEGNet 结构及许可证</w:t>
            </w:r>
          </w:p>
        </w:tc>
      </w:tr>
      <w:tr>
        <w:trPr>
          <w:cantSplit/>
        </w:trPr>
        <w:tc>
          <w:tcPr>
            <w:tcW w:type="dxa" w:w="3005"/>
            <w:vAlign w:val="center"/>
            <w:shd w:fill="FFFFFF"/>
          </w:tcPr>
          <w:p>
            <w:pPr>
              <w:spacing w:after="0" w:line="269" w:lineRule="auto"/>
              <w:jc w:val="left"/>
            </w:pPr>
            <w:r>
              <w:rPr>
                <w:b w:val="0"/>
                <w:sz w:val="18"/>
              </w:rPr>
              <w:t>training</w:t>
            </w:r>
          </w:p>
        </w:tc>
        <w:tc>
          <w:tcPr>
            <w:tcW w:type="dxa" w:w="6633"/>
            <w:vAlign w:val="center"/>
            <w:shd w:fill="FFFFFF"/>
          </w:tcPr>
          <w:p>
            <w:pPr>
              <w:spacing w:after="0" w:line="269" w:lineRule="auto"/>
              <w:jc w:val="center"/>
            </w:pPr>
            <w:r>
              <w:rPr>
                <w:b w:val="0"/>
                <w:sz w:val="18"/>
              </w:rPr>
              <w:t>五折调度 优化循环 损失 checkpoint 日志</w:t>
            </w:r>
          </w:p>
        </w:tc>
      </w:tr>
      <w:tr>
        <w:trPr>
          <w:cantSplit/>
        </w:trPr>
        <w:tc>
          <w:tcPr>
            <w:tcW w:type="dxa" w:w="3005"/>
            <w:vAlign w:val="center"/>
            <w:shd w:fill="F5F7FA"/>
          </w:tcPr>
          <w:p>
            <w:pPr>
              <w:spacing w:after="0" w:line="269" w:lineRule="auto"/>
              <w:jc w:val="left"/>
            </w:pPr>
            <w:r>
              <w:rPr>
                <w:b w:val="0"/>
                <w:sz w:val="18"/>
              </w:rPr>
              <w:t>evaluation 与 reporting</w:t>
            </w:r>
          </w:p>
        </w:tc>
        <w:tc>
          <w:tcPr>
            <w:tcW w:type="dxa" w:w="6633"/>
            <w:vAlign w:val="center"/>
            <w:shd w:fill="F5F7FA"/>
          </w:tcPr>
          <w:p>
            <w:pPr>
              <w:spacing w:after="0" w:line="269" w:lineRule="auto"/>
              <w:jc w:val="center"/>
            </w:pPr>
            <w:r>
              <w:rPr>
                <w:b w:val="0"/>
                <w:sz w:val="18"/>
              </w:rPr>
              <w:t>概率推理 trial 汇总 指标 CSV 和曲线</w:t>
            </w:r>
          </w:p>
        </w:tc>
      </w:tr>
      <w:tr>
        <w:trPr>
          <w:cantSplit/>
        </w:trPr>
        <w:tc>
          <w:tcPr>
            <w:tcW w:type="dxa" w:w="3005"/>
            <w:vAlign w:val="center"/>
            <w:shd w:fill="FFFFFF"/>
          </w:tcPr>
          <w:p>
            <w:pPr>
              <w:spacing w:after="0" w:line="269" w:lineRule="auto"/>
              <w:jc w:val="left"/>
            </w:pPr>
            <w:r>
              <w:rPr>
                <w:b w:val="0"/>
                <w:sz w:val="18"/>
              </w:rPr>
              <w:t>analysis</w:t>
            </w:r>
          </w:p>
        </w:tc>
        <w:tc>
          <w:tcPr>
            <w:tcW w:type="dxa" w:w="6633"/>
            <w:vAlign w:val="center"/>
            <w:shd w:fill="FFFFFF"/>
          </w:tcPr>
          <w:p>
            <w:pPr>
              <w:spacing w:after="0" w:line="269" w:lineRule="auto"/>
              <w:jc w:val="center"/>
            </w:pPr>
            <w:r>
              <w:rPr>
                <w:b w:val="0"/>
                <w:sz w:val="18"/>
              </w:rPr>
              <w:t>聚合诊断 通道消融 kernel 提取和统计</w:t>
            </w:r>
          </w:p>
        </w:tc>
      </w:tr>
      <w:tr>
        <w:trPr>
          <w:cantSplit/>
        </w:trPr>
        <w:tc>
          <w:tcPr>
            <w:tcW w:type="dxa" w:w="3005"/>
            <w:vAlign w:val="center"/>
            <w:shd w:fill="F5F7FA"/>
          </w:tcPr>
          <w:p>
            <w:pPr>
              <w:spacing w:after="0" w:line="269" w:lineRule="auto"/>
              <w:jc w:val="left"/>
            </w:pPr>
            <w:r>
              <w:rPr>
                <w:b w:val="0"/>
                <w:sz w:val="18"/>
              </w:rPr>
              <w:t>visualize</w:t>
            </w:r>
          </w:p>
        </w:tc>
        <w:tc>
          <w:tcPr>
            <w:tcW w:type="dxa" w:w="6633"/>
            <w:vAlign w:val="center"/>
            <w:shd w:fill="F5F7FA"/>
          </w:tcPr>
          <w:p>
            <w:pPr>
              <w:spacing w:after="0" w:line="269" w:lineRule="auto"/>
              <w:jc w:val="center"/>
            </w:pPr>
            <w:r>
              <w:rPr>
                <w:b w:val="0"/>
                <w:sz w:val="18"/>
              </w:rPr>
              <w:t>Topomap 命令行 绘图及解释报告</w:t>
            </w:r>
          </w:p>
        </w:tc>
      </w:tr>
    </w:tbl>
    <w:p>
      <w:pPr>
        <w:spacing w:before="120"/>
      </w:pPr>
      <w:r>
        <w:t>代码统一置于 src/inhouse_bci_raspy，run.py 只保留启动功能。重构前后核心计算 AST、短程训练历史、指标和权重做过一致性检查。</w:t>
      </w:r>
    </w:p>
    <w:p>
      <w:pPr>
        <w:pStyle w:val="Heading2"/>
      </w:pPr>
      <w:r>
        <w:t>本次 EEGNet 配置</w:t>
      </w:r>
    </w:p>
    <w:p>
      <w:r>
        <w:t>输入为每窗 16 通道 × 100 采样点。采用 EEGNet 8,2：8 个时间滤波器，每个时间滤波器连接 2 个空间滤波器，共 16 个空间滤波器。网络含 1,348 个可训练参数。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2551"/>
        <w:gridCol w:w="4082"/>
        <w:gridCol w:w="3005"/>
      </w:tblGrid>
      <w:tr>
        <w:trPr>
          <w:tblHeader/>
          <w:cantSplit/>
        </w:trPr>
        <w:tc>
          <w:tcPr>
            <w:tcW w:type="dxa" w:w="2551"/>
            <w:vAlign w:val="center"/>
            <w:shd w:fill="DCE6F1"/>
          </w:tcPr>
          <w:p>
            <w:pPr>
              <w:spacing w:after="0" w:line="269" w:lineRule="auto"/>
              <w:jc w:val="left"/>
            </w:pPr>
            <w:r>
              <w:rPr>
                <w:b/>
                <w:sz w:val="18"/>
              </w:rPr>
              <w:t>阶段</w:t>
            </w:r>
          </w:p>
        </w:tc>
        <w:tc>
          <w:tcPr>
            <w:tcW w:type="dxa" w:w="4082"/>
            <w:vAlign w:val="center"/>
            <w:shd w:fill="DCE6F1"/>
          </w:tcPr>
          <w:p>
            <w:pPr>
              <w:spacing w:after="0" w:line="269" w:lineRule="auto"/>
              <w:jc w:val="center"/>
            </w:pPr>
            <w:r>
              <w:rPr>
                <w:b/>
                <w:sz w:val="18"/>
              </w:rPr>
              <w:t>主要设置</w:t>
            </w:r>
          </w:p>
        </w:tc>
        <w:tc>
          <w:tcPr>
            <w:tcW w:type="dxa" w:w="3005"/>
            <w:vAlign w:val="center"/>
            <w:shd w:fill="DCE6F1"/>
          </w:tcPr>
          <w:p>
            <w:pPr>
              <w:spacing w:after="0" w:line="269" w:lineRule="auto"/>
              <w:jc w:val="center"/>
            </w:pPr>
            <w:r>
              <w:rPr>
                <w:b/>
                <w:sz w:val="18"/>
              </w:rPr>
              <w:t>输出特征维度</w:t>
            </w:r>
          </w:p>
        </w:tc>
      </w:tr>
      <w:tr>
        <w:trPr>
          <w:cantSplit/>
        </w:trPr>
        <w:tc>
          <w:tcPr>
            <w:tcW w:type="dxa" w:w="2551"/>
            <w:vAlign w:val="center"/>
            <w:shd w:fill="FFFFFF"/>
          </w:tcPr>
          <w:p>
            <w:pPr>
              <w:spacing w:after="0" w:line="269" w:lineRule="auto"/>
              <w:jc w:val="left"/>
            </w:pPr>
            <w:r>
              <w:rPr>
                <w:b w:val="0"/>
                <w:sz w:val="18"/>
              </w:rPr>
              <w:t>时间卷积</w:t>
            </w:r>
          </w:p>
        </w:tc>
        <w:tc>
          <w:tcPr>
            <w:tcW w:type="dxa" w:w="4082"/>
            <w:vAlign w:val="center"/>
            <w:shd w:fill="FFFFFF"/>
          </w:tcPr>
          <w:p>
            <w:pPr>
              <w:spacing w:after="0" w:line="269" w:lineRule="auto"/>
              <w:jc w:val="left"/>
            </w:pPr>
            <w:r>
              <w:rPr>
                <w:b w:val="0"/>
                <w:sz w:val="18"/>
              </w:rPr>
              <w:t>1 × 51 same padding 与 BatchNorm</w:t>
            </w:r>
          </w:p>
        </w:tc>
        <w:tc>
          <w:tcPr>
            <w:tcW w:type="dxa" w:w="3005"/>
            <w:vAlign w:val="center"/>
            <w:shd w:fill="FFFFFF"/>
          </w:tcPr>
          <w:p>
            <w:pPr>
              <w:spacing w:after="0" w:line="269" w:lineRule="auto"/>
              <w:jc w:val="center"/>
            </w:pPr>
            <w:r>
              <w:rPr>
                <w:b w:val="0"/>
                <w:sz w:val="18"/>
              </w:rPr>
              <w:t>8 × 16 × 100</w:t>
            </w:r>
          </w:p>
        </w:tc>
      </w:tr>
      <w:tr>
        <w:trPr>
          <w:cantSplit/>
        </w:trPr>
        <w:tc>
          <w:tcPr>
            <w:tcW w:type="dxa" w:w="2551"/>
            <w:vAlign w:val="center"/>
            <w:shd w:fill="F5F7FA"/>
          </w:tcPr>
          <w:p>
            <w:pPr>
              <w:spacing w:after="0" w:line="269" w:lineRule="auto"/>
              <w:jc w:val="left"/>
            </w:pPr>
            <w:r>
              <w:rPr>
                <w:b w:val="0"/>
                <w:sz w:val="18"/>
              </w:rPr>
              <w:t>空间 depthwise 卷积</w:t>
            </w:r>
          </w:p>
        </w:tc>
        <w:tc>
          <w:tcPr>
            <w:tcW w:type="dxa" w:w="4082"/>
            <w:vAlign w:val="center"/>
            <w:shd w:fill="F5F7FA"/>
          </w:tcPr>
          <w:p>
            <w:pPr>
              <w:spacing w:after="0" w:line="269" w:lineRule="auto"/>
              <w:jc w:val="center"/>
            </w:pPr>
            <w:r>
              <w:rPr>
                <w:b w:val="0"/>
                <w:sz w:val="18"/>
              </w:rPr>
              <w:t>16 × 1 跨通道 与 BatchNorm 和 ELU</w:t>
            </w:r>
          </w:p>
        </w:tc>
        <w:tc>
          <w:tcPr>
            <w:tcW w:type="dxa" w:w="3005"/>
            <w:vAlign w:val="center"/>
            <w:shd w:fill="F5F7FA"/>
          </w:tcPr>
          <w:p>
            <w:pPr>
              <w:spacing w:after="0" w:line="269" w:lineRule="auto"/>
              <w:jc w:val="center"/>
            </w:pPr>
            <w:r>
              <w:rPr>
                <w:b w:val="0"/>
                <w:sz w:val="18"/>
              </w:rPr>
              <w:t>16 × 1 × 100</w:t>
            </w:r>
          </w:p>
        </w:tc>
      </w:tr>
      <w:tr>
        <w:trPr>
          <w:cantSplit/>
        </w:trPr>
        <w:tc>
          <w:tcPr>
            <w:tcW w:type="dxa" w:w="2551"/>
            <w:vAlign w:val="center"/>
            <w:shd w:fill="FFFFFF"/>
          </w:tcPr>
          <w:p>
            <w:pPr>
              <w:spacing w:after="0" w:line="269" w:lineRule="auto"/>
              <w:jc w:val="left"/>
            </w:pPr>
            <w:r>
              <w:rPr>
                <w:b w:val="0"/>
                <w:sz w:val="18"/>
              </w:rPr>
              <w:t>第一次池化</w:t>
            </w:r>
          </w:p>
        </w:tc>
        <w:tc>
          <w:tcPr>
            <w:tcW w:type="dxa" w:w="4082"/>
            <w:vAlign w:val="center"/>
            <w:shd w:fill="FFFFFF"/>
          </w:tcPr>
          <w:p>
            <w:pPr>
              <w:spacing w:after="0" w:line="269" w:lineRule="auto"/>
              <w:jc w:val="center"/>
            </w:pPr>
            <w:r>
              <w:rPr>
                <w:b w:val="0"/>
                <w:sz w:val="18"/>
              </w:rPr>
              <w:t>1 × 3 平均池化 dropout 0.5</w:t>
            </w:r>
          </w:p>
        </w:tc>
        <w:tc>
          <w:tcPr>
            <w:tcW w:type="dxa" w:w="3005"/>
            <w:vAlign w:val="center"/>
            <w:shd w:fill="FFFFFF"/>
          </w:tcPr>
          <w:p>
            <w:pPr>
              <w:spacing w:after="0" w:line="269" w:lineRule="auto"/>
              <w:jc w:val="center"/>
            </w:pPr>
            <w:r>
              <w:rPr>
                <w:b w:val="0"/>
                <w:sz w:val="18"/>
              </w:rPr>
              <w:t>16 × 1 × 33</w:t>
            </w:r>
          </w:p>
        </w:tc>
      </w:tr>
      <w:tr>
        <w:trPr>
          <w:cantSplit/>
        </w:trPr>
        <w:tc>
          <w:tcPr>
            <w:tcW w:type="dxa" w:w="2551"/>
            <w:vAlign w:val="center"/>
            <w:shd w:fill="F5F7FA"/>
          </w:tcPr>
          <w:p>
            <w:pPr>
              <w:spacing w:after="0" w:line="269" w:lineRule="auto"/>
              <w:jc w:val="left"/>
            </w:pPr>
            <w:r>
              <w:rPr>
                <w:b w:val="0"/>
                <w:sz w:val="18"/>
              </w:rPr>
              <w:t>可分离卷积</w:t>
            </w:r>
          </w:p>
        </w:tc>
        <w:tc>
          <w:tcPr>
            <w:tcW w:type="dxa" w:w="4082"/>
            <w:vAlign w:val="center"/>
            <w:shd w:fill="F5F7FA"/>
          </w:tcPr>
          <w:p>
            <w:pPr>
              <w:spacing w:after="0" w:line="269" w:lineRule="auto"/>
              <w:jc w:val="center"/>
            </w:pPr>
            <w:r>
              <w:rPr>
                <w:b w:val="0"/>
                <w:sz w:val="18"/>
              </w:rPr>
              <w:t>1 × 16 depthwise 加 pointwise</w:t>
            </w:r>
          </w:p>
        </w:tc>
        <w:tc>
          <w:tcPr>
            <w:tcW w:type="dxa" w:w="3005"/>
            <w:vAlign w:val="center"/>
            <w:shd w:fill="F5F7FA"/>
          </w:tcPr>
          <w:p>
            <w:pPr>
              <w:spacing w:after="0" w:line="269" w:lineRule="auto"/>
              <w:jc w:val="center"/>
            </w:pPr>
            <w:r>
              <w:rPr>
                <w:b w:val="0"/>
                <w:sz w:val="18"/>
              </w:rPr>
              <w:t>16 × 1 × 18</w:t>
            </w:r>
          </w:p>
        </w:tc>
      </w:tr>
      <w:tr>
        <w:trPr>
          <w:cantSplit/>
        </w:trPr>
        <w:tc>
          <w:tcPr>
            <w:tcW w:type="dxa" w:w="2551"/>
            <w:vAlign w:val="center"/>
            <w:shd w:fill="FFFFFF"/>
          </w:tcPr>
          <w:p>
            <w:pPr>
              <w:spacing w:after="0" w:line="269" w:lineRule="auto"/>
              <w:jc w:val="left"/>
            </w:pPr>
            <w:r>
              <w:rPr>
                <w:b w:val="0"/>
                <w:sz w:val="18"/>
              </w:rPr>
              <w:t>第二次池化及输出</w:t>
            </w:r>
          </w:p>
        </w:tc>
        <w:tc>
          <w:tcPr>
            <w:tcW w:type="dxa" w:w="4082"/>
            <w:vAlign w:val="center"/>
            <w:shd w:fill="FFFFFF"/>
          </w:tcPr>
          <w:p>
            <w:pPr>
              <w:spacing w:after="0" w:line="269" w:lineRule="auto"/>
              <w:jc w:val="center"/>
            </w:pPr>
            <w:r>
              <w:rPr>
                <w:b w:val="0"/>
                <w:sz w:val="18"/>
              </w:rPr>
              <w:t>1 × 16 平均池化 dropout 0.5 线性分类</w:t>
            </w:r>
          </w:p>
        </w:tc>
        <w:tc>
          <w:tcPr>
            <w:tcW w:type="dxa" w:w="3005"/>
            <w:vAlign w:val="center"/>
            <w:shd w:fill="FFFFFF"/>
          </w:tcPr>
          <w:p>
            <w:pPr>
              <w:spacing w:after="0" w:line="269" w:lineRule="auto"/>
              <w:jc w:val="center"/>
            </w:pPr>
            <w:r>
              <w:rPr>
                <w:b w:val="0"/>
                <w:sz w:val="18"/>
              </w:rPr>
              <w:t>16 维特征至 4 维输出</w:t>
            </w:r>
          </w:p>
        </w:tc>
      </w:tr>
    </w:tbl>
    <w:p>
      <w:pPr>
        <w:spacing w:before="120"/>
      </w:pPr>
      <w:r>
        <w:t>未额外训练一个所谓默认 EEGNet 与之做公平对照，因此不能把本次结果解读为 Raspy 优于或劣于另一套 EEGNet。</w:t>
      </w:r>
    </w:p>
    <w:p>
      <w:pPr>
        <w:pStyle w:val="Heading1"/>
        <w:pageBreakBefore/>
      </w:pPr>
      <w:r>
        <w:t>五折协议与训练结果</w:t>
      </w:r>
    </w:p>
    <w:p>
      <w:pPr>
        <w:pStyle w:val="Heading2"/>
      </w:pPr>
      <w:r>
        <w:t>从 trial 切分到窗口训练</w:t>
      </w:r>
    </w:p>
    <w:p>
      <w:r>
        <w:t>复用 GitClone 的类别分层 trial 五折：随机种子 42，先按类别打乱 trial，再用 array_split 切成五份。每轮四折训练、一折验证。三个 session 混合进入各折；同一 trial 的窗口始终属于同一侧，不能先生成窗口再随机打散切分。新旧分折函数已逐索引核验一致。</w:t>
      </w:r>
    </w:p>
    <w:p>
      <w:r>
        <w:t>每轮 RMS 从训练 trial 的完整 −2 至 5 秒 epoch 按通道计算，再应用于该轮训练与验证。窗口长 1 秒，起点 1.0 至 4.0 秒、步长 0.1 秒，共 31 窗口，覆盖 1 至 5 秒。每窗重采样至 100 Hz。训练含原窗和 4 份均匀噪声副本；验证只使用原窗。</w:t>
      </w:r>
    </w:p>
    <w:p>
      <w:r>
        <w:t>优化器为 Adam，学习率 0.001，batch size 32；损失为带平衡类别权重的 OneHotMSE，gamma=10。学习率调度监控验证准确率，最佳 checkpoint 按验证损失选择。实际早停规则为连续 10 轮验证损失未改善；不能将配置文件中的 patience=100 当作实际早停轮数。</w:t>
      </w:r>
    </w:p>
    <w:p>
      <w:pPr>
        <w:pStyle w:val="Heading2"/>
      </w:pPr>
      <w:r>
        <w:t>正式五折结果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680"/>
        <w:gridCol w:w="1191"/>
        <w:gridCol w:w="1474"/>
        <w:gridCol w:w="2098"/>
        <w:gridCol w:w="2098"/>
        <w:gridCol w:w="2098"/>
      </w:tblGrid>
      <w:tr>
        <w:trPr>
          <w:tblHeader/>
          <w:cantSplit/>
        </w:trPr>
        <w:tc>
          <w:tcPr>
            <w:tcW w:type="dxa" w:w="680"/>
            <w:vAlign w:val="center"/>
            <w:shd w:fill="DCE6F1"/>
          </w:tcPr>
          <w:p>
            <w:pPr>
              <w:spacing w:after="0" w:line="269" w:lineRule="auto"/>
              <w:jc w:val="left"/>
            </w:pPr>
            <w:r>
              <w:rPr>
                <w:b/>
                <w:sz w:val="18"/>
              </w:rPr>
              <w:t>Fold</w:t>
            </w:r>
          </w:p>
        </w:tc>
        <w:tc>
          <w:tcPr>
            <w:tcW w:type="dxa" w:w="1191"/>
            <w:vAlign w:val="center"/>
            <w:shd w:fill="DCE6F1"/>
          </w:tcPr>
          <w:p>
            <w:pPr>
              <w:spacing w:after="0" w:line="269" w:lineRule="auto"/>
              <w:jc w:val="center"/>
            </w:pPr>
            <w:r>
              <w:rPr>
                <w:b/>
                <w:sz w:val="18"/>
              </w:rPr>
              <w:t>训练轮数</w:t>
            </w:r>
          </w:p>
        </w:tc>
        <w:tc>
          <w:tcPr>
            <w:tcW w:type="dxa" w:w="1474"/>
            <w:vAlign w:val="center"/>
            <w:shd w:fill="DCE6F1"/>
          </w:tcPr>
          <w:p>
            <w:pPr>
              <w:spacing w:after="0" w:line="269" w:lineRule="auto"/>
              <w:jc w:val="center"/>
            </w:pPr>
            <w:r>
              <w:rPr>
                <w:b/>
                <w:sz w:val="18"/>
              </w:rPr>
              <w:t>最佳轮索引</w:t>
            </w:r>
          </w:p>
        </w:tc>
        <w:tc>
          <w:tcPr>
            <w:tcW w:type="dxa" w:w="2098"/>
            <w:vAlign w:val="center"/>
            <w:shd w:fill="DCE6F1"/>
          </w:tcPr>
          <w:p>
            <w:pPr>
              <w:spacing w:after="0" w:line="269" w:lineRule="auto"/>
              <w:jc w:val="center"/>
            </w:pPr>
            <w:r>
              <w:rPr>
                <w:b/>
                <w:sz w:val="18"/>
              </w:rPr>
              <w:t>训练窗口 %</w:t>
            </w:r>
          </w:p>
        </w:tc>
        <w:tc>
          <w:tcPr>
            <w:tcW w:type="dxa" w:w="2098"/>
            <w:vAlign w:val="center"/>
            <w:shd w:fill="DCE6F1"/>
          </w:tcPr>
          <w:p>
            <w:pPr>
              <w:spacing w:after="0" w:line="269" w:lineRule="auto"/>
              <w:jc w:val="center"/>
            </w:pPr>
            <w:r>
              <w:rPr>
                <w:b/>
                <w:sz w:val="18"/>
              </w:rPr>
              <w:t>验证窗口 %</w:t>
            </w:r>
          </w:p>
        </w:tc>
        <w:tc>
          <w:tcPr>
            <w:tcW w:type="dxa" w:w="2098"/>
            <w:vAlign w:val="center"/>
            <w:shd w:fill="DCE6F1"/>
          </w:tcPr>
          <w:p>
            <w:pPr>
              <w:spacing w:after="0" w:line="269" w:lineRule="auto"/>
              <w:jc w:val="center"/>
            </w:pPr>
            <w:r>
              <w:rPr>
                <w:b/>
                <w:sz w:val="18"/>
              </w:rPr>
              <w:t>验证 trial %</w:t>
            </w:r>
          </w:p>
        </w:tc>
      </w:tr>
      <w:tr>
        <w:trPr>
          <w:cantSplit/>
        </w:trPr>
        <w:tc>
          <w:tcPr>
            <w:tcW w:type="dxa" w:w="680"/>
            <w:vAlign w:val="center"/>
            <w:shd w:fill="FFFFFF"/>
          </w:tcPr>
          <w:p>
            <w:pPr>
              <w:spacing w:after="0" w:line="269" w:lineRule="auto"/>
              <w:jc w:val="left"/>
            </w:pPr>
            <w:r>
              <w:rPr>
                <w:b w:val="0"/>
                <w:sz w:val="18"/>
              </w:rPr>
              <w:t>0</w:t>
            </w:r>
          </w:p>
        </w:tc>
        <w:tc>
          <w:tcPr>
            <w:tcW w:type="dxa" w:w="1191"/>
            <w:vAlign w:val="center"/>
            <w:shd w:fill="FFFFFF"/>
          </w:tcPr>
          <w:p>
            <w:pPr>
              <w:spacing w:after="0" w:line="269" w:lineRule="auto"/>
              <w:jc w:val="center"/>
            </w:pPr>
            <w:r>
              <w:rPr>
                <w:b w:val="0"/>
                <w:sz w:val="18"/>
              </w:rPr>
              <w:t>28</w:t>
            </w:r>
          </w:p>
        </w:tc>
        <w:tc>
          <w:tcPr>
            <w:tcW w:type="dxa" w:w="1474"/>
            <w:vAlign w:val="center"/>
            <w:shd w:fill="FFFFFF"/>
          </w:tcPr>
          <w:p>
            <w:pPr>
              <w:spacing w:after="0" w:line="269" w:lineRule="auto"/>
              <w:jc w:val="center"/>
            </w:pPr>
            <w:r>
              <w:rPr>
                <w:b w:val="0"/>
                <w:sz w:val="18"/>
              </w:rPr>
              <w:t>17</w:t>
            </w:r>
          </w:p>
        </w:tc>
        <w:tc>
          <w:tcPr>
            <w:tcW w:type="dxa" w:w="2098"/>
            <w:vAlign w:val="center"/>
            <w:shd w:fill="FFFFFF"/>
          </w:tcPr>
          <w:p>
            <w:pPr>
              <w:spacing w:after="0" w:line="269" w:lineRule="auto"/>
              <w:jc w:val="center"/>
            </w:pPr>
            <w:r>
              <w:rPr>
                <w:b w:val="0"/>
                <w:sz w:val="18"/>
              </w:rPr>
              <w:t>57.41</w:t>
            </w:r>
          </w:p>
        </w:tc>
        <w:tc>
          <w:tcPr>
            <w:tcW w:type="dxa" w:w="2098"/>
            <w:vAlign w:val="center"/>
            <w:shd w:fill="FFFFFF"/>
          </w:tcPr>
          <w:p>
            <w:pPr>
              <w:spacing w:after="0" w:line="269" w:lineRule="auto"/>
              <w:jc w:val="center"/>
            </w:pPr>
            <w:r>
              <w:rPr>
                <w:b w:val="0"/>
                <w:sz w:val="18"/>
              </w:rPr>
              <w:t>58.60</w:t>
            </w:r>
          </w:p>
        </w:tc>
        <w:tc>
          <w:tcPr>
            <w:tcW w:type="dxa" w:w="2098"/>
            <w:vAlign w:val="center"/>
            <w:shd w:fill="FFFFFF"/>
          </w:tcPr>
          <w:p>
            <w:pPr>
              <w:spacing w:after="0" w:line="269" w:lineRule="auto"/>
              <w:jc w:val="center"/>
            </w:pPr>
            <w:r>
              <w:rPr>
                <w:b w:val="0"/>
                <w:sz w:val="18"/>
              </w:rPr>
              <w:t>79.17</w:t>
            </w:r>
          </w:p>
        </w:tc>
      </w:tr>
      <w:tr>
        <w:trPr>
          <w:cantSplit/>
        </w:trPr>
        <w:tc>
          <w:tcPr>
            <w:tcW w:type="dxa" w:w="680"/>
            <w:vAlign w:val="center"/>
            <w:shd w:fill="F5F7FA"/>
          </w:tcPr>
          <w:p>
            <w:pPr>
              <w:spacing w:after="0" w:line="269" w:lineRule="auto"/>
              <w:jc w:val="left"/>
            </w:pPr>
            <w:r>
              <w:rPr>
                <w:b w:val="0"/>
                <w:sz w:val="18"/>
              </w:rPr>
              <w:t>1</w:t>
            </w:r>
          </w:p>
        </w:tc>
        <w:tc>
          <w:tcPr>
            <w:tcW w:type="dxa" w:w="1191"/>
            <w:vAlign w:val="center"/>
            <w:shd w:fill="F5F7FA"/>
          </w:tcPr>
          <w:p>
            <w:pPr>
              <w:spacing w:after="0" w:line="269" w:lineRule="auto"/>
              <w:jc w:val="center"/>
            </w:pPr>
            <w:r>
              <w:rPr>
                <w:b w:val="0"/>
                <w:sz w:val="18"/>
              </w:rPr>
              <w:t>50</w:t>
            </w:r>
          </w:p>
        </w:tc>
        <w:tc>
          <w:tcPr>
            <w:tcW w:type="dxa" w:w="1474"/>
            <w:vAlign w:val="center"/>
            <w:shd w:fill="F5F7FA"/>
          </w:tcPr>
          <w:p>
            <w:pPr>
              <w:spacing w:after="0" w:line="269" w:lineRule="auto"/>
              <w:jc w:val="center"/>
            </w:pPr>
            <w:r>
              <w:rPr>
                <w:b w:val="0"/>
                <w:sz w:val="18"/>
              </w:rPr>
              <w:t>39</w:t>
            </w:r>
          </w:p>
        </w:tc>
        <w:tc>
          <w:tcPr>
            <w:tcW w:type="dxa" w:w="2098"/>
            <w:vAlign w:val="center"/>
            <w:shd w:fill="F5F7FA"/>
          </w:tcPr>
          <w:p>
            <w:pPr>
              <w:spacing w:after="0" w:line="269" w:lineRule="auto"/>
              <w:jc w:val="center"/>
            </w:pPr>
            <w:r>
              <w:rPr>
                <w:b w:val="0"/>
                <w:sz w:val="18"/>
              </w:rPr>
              <w:t>57.80</w:t>
            </w:r>
          </w:p>
        </w:tc>
        <w:tc>
          <w:tcPr>
            <w:tcW w:type="dxa" w:w="2098"/>
            <w:vAlign w:val="center"/>
            <w:shd w:fill="F5F7FA"/>
          </w:tcPr>
          <w:p>
            <w:pPr>
              <w:spacing w:after="0" w:line="269" w:lineRule="auto"/>
              <w:jc w:val="center"/>
            </w:pPr>
            <w:r>
              <w:rPr>
                <w:b w:val="0"/>
                <w:sz w:val="18"/>
              </w:rPr>
              <w:t>61.09</w:t>
            </w:r>
          </w:p>
        </w:tc>
        <w:tc>
          <w:tcPr>
            <w:tcW w:type="dxa" w:w="2098"/>
            <w:vAlign w:val="center"/>
            <w:shd w:fill="F5F7FA"/>
          </w:tcPr>
          <w:p>
            <w:pPr>
              <w:spacing w:after="0" w:line="269" w:lineRule="auto"/>
              <w:jc w:val="center"/>
            </w:pPr>
            <w:r>
              <w:rPr>
                <w:b w:val="0"/>
                <w:sz w:val="18"/>
              </w:rPr>
              <w:t>79.17</w:t>
            </w:r>
          </w:p>
        </w:tc>
      </w:tr>
      <w:tr>
        <w:trPr>
          <w:cantSplit/>
        </w:trPr>
        <w:tc>
          <w:tcPr>
            <w:tcW w:type="dxa" w:w="680"/>
            <w:vAlign w:val="center"/>
            <w:shd w:fill="FFFFFF"/>
          </w:tcPr>
          <w:p>
            <w:pPr>
              <w:spacing w:after="0" w:line="269" w:lineRule="auto"/>
              <w:jc w:val="left"/>
            </w:pPr>
            <w:r>
              <w:rPr>
                <w:b w:val="0"/>
                <w:sz w:val="18"/>
              </w:rPr>
              <w:t>2</w:t>
            </w:r>
          </w:p>
        </w:tc>
        <w:tc>
          <w:tcPr>
            <w:tcW w:type="dxa" w:w="1191"/>
            <w:vAlign w:val="center"/>
            <w:shd w:fill="FFFFFF"/>
          </w:tcPr>
          <w:p>
            <w:pPr>
              <w:spacing w:after="0" w:line="269" w:lineRule="auto"/>
              <w:jc w:val="center"/>
            </w:pPr>
            <w:r>
              <w:rPr>
                <w:b w:val="0"/>
                <w:sz w:val="18"/>
              </w:rPr>
              <w:t>47</w:t>
            </w:r>
          </w:p>
        </w:tc>
        <w:tc>
          <w:tcPr>
            <w:tcW w:type="dxa" w:w="1474"/>
            <w:vAlign w:val="center"/>
            <w:shd w:fill="FFFFFF"/>
          </w:tcPr>
          <w:p>
            <w:pPr>
              <w:spacing w:after="0" w:line="269" w:lineRule="auto"/>
              <w:jc w:val="center"/>
            </w:pPr>
            <w:r>
              <w:rPr>
                <w:b w:val="0"/>
                <w:sz w:val="18"/>
              </w:rPr>
              <w:t>36</w:t>
            </w:r>
          </w:p>
        </w:tc>
        <w:tc>
          <w:tcPr>
            <w:tcW w:type="dxa" w:w="2098"/>
            <w:vAlign w:val="center"/>
            <w:shd w:fill="FFFFFF"/>
          </w:tcPr>
          <w:p>
            <w:pPr>
              <w:spacing w:after="0" w:line="269" w:lineRule="auto"/>
              <w:jc w:val="center"/>
            </w:pPr>
            <w:r>
              <w:rPr>
                <w:b w:val="0"/>
                <w:sz w:val="18"/>
              </w:rPr>
              <w:t>58.72</w:t>
            </w:r>
          </w:p>
        </w:tc>
        <w:tc>
          <w:tcPr>
            <w:tcW w:type="dxa" w:w="2098"/>
            <w:vAlign w:val="center"/>
            <w:shd w:fill="FFFFFF"/>
          </w:tcPr>
          <w:p>
            <w:pPr>
              <w:spacing w:after="0" w:line="269" w:lineRule="auto"/>
              <w:jc w:val="center"/>
            </w:pPr>
            <w:r>
              <w:rPr>
                <w:b w:val="0"/>
                <w:sz w:val="18"/>
              </w:rPr>
              <w:t>49.93</w:t>
            </w:r>
          </w:p>
        </w:tc>
        <w:tc>
          <w:tcPr>
            <w:tcW w:type="dxa" w:w="2098"/>
            <w:vAlign w:val="center"/>
            <w:shd w:fill="FFFFFF"/>
          </w:tcPr>
          <w:p>
            <w:pPr>
              <w:spacing w:after="0" w:line="269" w:lineRule="auto"/>
              <w:jc w:val="center"/>
            </w:pPr>
            <w:r>
              <w:rPr>
                <w:b w:val="0"/>
                <w:sz w:val="18"/>
              </w:rPr>
              <w:t>64.58</w:t>
            </w:r>
          </w:p>
        </w:tc>
      </w:tr>
      <w:tr>
        <w:trPr>
          <w:cantSplit/>
        </w:trPr>
        <w:tc>
          <w:tcPr>
            <w:tcW w:type="dxa" w:w="680"/>
            <w:vAlign w:val="center"/>
            <w:shd w:fill="F5F7FA"/>
          </w:tcPr>
          <w:p>
            <w:pPr>
              <w:spacing w:after="0" w:line="269" w:lineRule="auto"/>
              <w:jc w:val="left"/>
            </w:pPr>
            <w:r>
              <w:rPr>
                <w:b w:val="0"/>
                <w:sz w:val="18"/>
              </w:rPr>
              <w:t>3</w:t>
            </w:r>
          </w:p>
        </w:tc>
        <w:tc>
          <w:tcPr>
            <w:tcW w:type="dxa" w:w="1191"/>
            <w:vAlign w:val="center"/>
            <w:shd w:fill="F5F7FA"/>
          </w:tcPr>
          <w:p>
            <w:pPr>
              <w:spacing w:after="0" w:line="269" w:lineRule="auto"/>
              <w:jc w:val="center"/>
            </w:pPr>
            <w:r>
              <w:rPr>
                <w:b w:val="0"/>
                <w:sz w:val="18"/>
              </w:rPr>
              <w:t>33</w:t>
            </w:r>
          </w:p>
        </w:tc>
        <w:tc>
          <w:tcPr>
            <w:tcW w:type="dxa" w:w="1474"/>
            <w:vAlign w:val="center"/>
            <w:shd w:fill="F5F7FA"/>
          </w:tcPr>
          <w:p>
            <w:pPr>
              <w:spacing w:after="0" w:line="269" w:lineRule="auto"/>
              <w:jc w:val="center"/>
            </w:pPr>
            <w:r>
              <w:rPr>
                <w:b w:val="0"/>
                <w:sz w:val="18"/>
              </w:rPr>
              <w:t>22</w:t>
            </w:r>
          </w:p>
        </w:tc>
        <w:tc>
          <w:tcPr>
            <w:tcW w:type="dxa" w:w="2098"/>
            <w:vAlign w:val="center"/>
            <w:shd w:fill="F5F7FA"/>
          </w:tcPr>
          <w:p>
            <w:pPr>
              <w:spacing w:after="0" w:line="269" w:lineRule="auto"/>
              <w:jc w:val="center"/>
            </w:pPr>
            <w:r>
              <w:rPr>
                <w:b w:val="0"/>
                <w:sz w:val="18"/>
              </w:rPr>
              <w:t>58.88</w:t>
            </w:r>
          </w:p>
        </w:tc>
        <w:tc>
          <w:tcPr>
            <w:tcW w:type="dxa" w:w="2098"/>
            <w:vAlign w:val="center"/>
            <w:shd w:fill="F5F7FA"/>
          </w:tcPr>
          <w:p>
            <w:pPr>
              <w:spacing w:after="0" w:line="269" w:lineRule="auto"/>
              <w:jc w:val="center"/>
            </w:pPr>
            <w:r>
              <w:rPr>
                <w:b w:val="0"/>
                <w:sz w:val="18"/>
              </w:rPr>
              <w:t>51.89</w:t>
            </w:r>
          </w:p>
        </w:tc>
        <w:tc>
          <w:tcPr>
            <w:tcW w:type="dxa" w:w="2098"/>
            <w:vAlign w:val="center"/>
            <w:shd w:fill="F5F7FA"/>
          </w:tcPr>
          <w:p>
            <w:pPr>
              <w:spacing w:after="0" w:line="269" w:lineRule="auto"/>
              <w:jc w:val="center"/>
            </w:pPr>
            <w:r>
              <w:rPr>
                <w:b w:val="0"/>
                <w:sz w:val="18"/>
              </w:rPr>
              <w:t>58.70</w:t>
            </w:r>
          </w:p>
        </w:tc>
      </w:tr>
      <w:tr>
        <w:trPr>
          <w:cantSplit/>
        </w:trPr>
        <w:tc>
          <w:tcPr>
            <w:tcW w:type="dxa" w:w="680"/>
            <w:vAlign w:val="center"/>
            <w:shd w:fill="FFFFFF"/>
          </w:tcPr>
          <w:p>
            <w:pPr>
              <w:spacing w:after="0" w:line="269" w:lineRule="auto"/>
              <w:jc w:val="left"/>
            </w:pPr>
            <w:r>
              <w:rPr>
                <w:b w:val="0"/>
                <w:sz w:val="18"/>
              </w:rPr>
              <w:t>4</w:t>
            </w:r>
          </w:p>
        </w:tc>
        <w:tc>
          <w:tcPr>
            <w:tcW w:type="dxa" w:w="1191"/>
            <w:vAlign w:val="center"/>
            <w:shd w:fill="FFFFFF"/>
          </w:tcPr>
          <w:p>
            <w:pPr>
              <w:spacing w:after="0" w:line="269" w:lineRule="auto"/>
              <w:jc w:val="center"/>
            </w:pPr>
            <w:r>
              <w:rPr>
                <w:b w:val="0"/>
                <w:sz w:val="18"/>
              </w:rPr>
              <w:t>30</w:t>
            </w:r>
          </w:p>
        </w:tc>
        <w:tc>
          <w:tcPr>
            <w:tcW w:type="dxa" w:w="1474"/>
            <w:vAlign w:val="center"/>
            <w:shd w:fill="FFFFFF"/>
          </w:tcPr>
          <w:p>
            <w:pPr>
              <w:spacing w:after="0" w:line="269" w:lineRule="auto"/>
              <w:jc w:val="center"/>
            </w:pPr>
            <w:r>
              <w:rPr>
                <w:b w:val="0"/>
                <w:sz w:val="18"/>
              </w:rPr>
              <w:t>19</w:t>
            </w:r>
          </w:p>
        </w:tc>
        <w:tc>
          <w:tcPr>
            <w:tcW w:type="dxa" w:w="2098"/>
            <w:vAlign w:val="center"/>
            <w:shd w:fill="FFFFFF"/>
          </w:tcPr>
          <w:p>
            <w:pPr>
              <w:spacing w:after="0" w:line="269" w:lineRule="auto"/>
              <w:jc w:val="center"/>
            </w:pPr>
            <w:r>
              <w:rPr>
                <w:b w:val="0"/>
                <w:sz w:val="18"/>
              </w:rPr>
              <w:t>57.78</w:t>
            </w:r>
          </w:p>
        </w:tc>
        <w:tc>
          <w:tcPr>
            <w:tcW w:type="dxa" w:w="2098"/>
            <w:vAlign w:val="center"/>
            <w:shd w:fill="FFFFFF"/>
          </w:tcPr>
          <w:p>
            <w:pPr>
              <w:spacing w:after="0" w:line="269" w:lineRule="auto"/>
              <w:jc w:val="center"/>
            </w:pPr>
            <w:r>
              <w:rPr>
                <w:b w:val="0"/>
                <w:sz w:val="18"/>
              </w:rPr>
              <w:t>50.11</w:t>
            </w:r>
          </w:p>
        </w:tc>
        <w:tc>
          <w:tcPr>
            <w:tcW w:type="dxa" w:w="2098"/>
            <w:vAlign w:val="center"/>
            <w:shd w:fill="FFFFFF"/>
          </w:tcPr>
          <w:p>
            <w:pPr>
              <w:spacing w:after="0" w:line="269" w:lineRule="auto"/>
              <w:jc w:val="center"/>
            </w:pPr>
            <w:r>
              <w:rPr>
                <w:b w:val="0"/>
                <w:sz w:val="18"/>
              </w:rPr>
              <w:t>66.67</w:t>
            </w:r>
          </w:p>
        </w:tc>
      </w:tr>
    </w:tbl>
    <w:p>
      <w:pPr>
        <w:spacing w:before="120"/>
      </w:pPr>
      <w:r>
        <w:t>最佳轮索引从 0 开始。五折验证 trial 数为 48、48、48、46、45，对应窗口数 1488、1488、1488、1426、1395。训练窗口准确率包含增强样本，不能与未增强验证准确率直接做同分布比较。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3742"/>
        <w:gridCol w:w="2948"/>
        <w:gridCol w:w="2948"/>
      </w:tblGrid>
      <w:tr>
        <w:trPr>
          <w:tblHeader/>
          <w:cantSplit/>
        </w:trPr>
        <w:tc>
          <w:tcPr>
            <w:tcW w:type="dxa" w:w="3742"/>
            <w:vAlign w:val="center"/>
            <w:shd w:fill="DCE6F1"/>
          </w:tcPr>
          <w:p>
            <w:pPr>
              <w:spacing w:after="0" w:line="269" w:lineRule="auto"/>
              <w:jc w:val="left"/>
            </w:pPr>
            <w:r>
              <w:rPr>
                <w:b/>
                <w:sz w:val="18"/>
              </w:rPr>
              <w:t>汇总方式</w:t>
            </w:r>
          </w:p>
        </w:tc>
        <w:tc>
          <w:tcPr>
            <w:tcW w:type="dxa" w:w="2948"/>
            <w:vAlign w:val="center"/>
            <w:shd w:fill="DCE6F1"/>
          </w:tcPr>
          <w:p>
            <w:pPr>
              <w:spacing w:after="0" w:line="269" w:lineRule="auto"/>
              <w:jc w:val="center"/>
            </w:pPr>
            <w:r>
              <w:rPr>
                <w:b/>
                <w:sz w:val="18"/>
              </w:rPr>
              <w:t>Window</w:t>
            </w:r>
          </w:p>
        </w:tc>
        <w:tc>
          <w:tcPr>
            <w:tcW w:type="dxa" w:w="2948"/>
            <w:vAlign w:val="center"/>
            <w:shd w:fill="DCE6F1"/>
          </w:tcPr>
          <w:p>
            <w:pPr>
              <w:spacing w:after="0" w:line="269" w:lineRule="auto"/>
              <w:jc w:val="center"/>
            </w:pPr>
            <w:r>
              <w:rPr>
                <w:b/>
                <w:sz w:val="18"/>
              </w:rPr>
              <w:t>Trial</w:t>
            </w:r>
          </w:p>
        </w:tc>
      </w:tr>
      <w:tr>
        <w:trPr>
          <w:cantSplit/>
        </w:trPr>
        <w:tc>
          <w:tcPr>
            <w:tcW w:type="dxa" w:w="3742"/>
            <w:vAlign w:val="center"/>
            <w:shd w:fill="FFFFFF"/>
          </w:tcPr>
          <w:p>
            <w:pPr>
              <w:spacing w:after="0" w:line="269" w:lineRule="auto"/>
              <w:jc w:val="left"/>
            </w:pPr>
            <w:r>
              <w:rPr>
                <w:b w:val="0"/>
                <w:sz w:val="18"/>
              </w:rPr>
              <w:t>五折等权均值及总体标准差</w:t>
            </w:r>
          </w:p>
        </w:tc>
        <w:tc>
          <w:tcPr>
            <w:tcW w:type="dxa" w:w="2948"/>
            <w:vAlign w:val="center"/>
            <w:shd w:fill="FFFFFF"/>
          </w:tcPr>
          <w:p>
            <w:pPr>
              <w:spacing w:after="0" w:line="269" w:lineRule="auto"/>
              <w:jc w:val="center"/>
            </w:pPr>
            <w:r>
              <w:rPr>
                <w:b w:val="0"/>
                <w:sz w:val="18"/>
              </w:rPr>
              <w:t>54.32% ± 4.63%</w:t>
            </w:r>
          </w:p>
        </w:tc>
        <w:tc>
          <w:tcPr>
            <w:tcW w:type="dxa" w:w="2948"/>
            <w:vAlign w:val="center"/>
            <w:shd w:fill="FFFFFF"/>
          </w:tcPr>
          <w:p>
            <w:pPr>
              <w:spacing w:after="0" w:line="269" w:lineRule="auto"/>
              <w:jc w:val="center"/>
            </w:pPr>
            <w:r>
              <w:rPr>
                <w:b w:val="0"/>
                <w:sz w:val="18"/>
              </w:rPr>
              <w:t>69.66% ± 8.19%</w:t>
            </w:r>
          </w:p>
        </w:tc>
      </w:tr>
      <w:tr>
        <w:trPr>
          <w:cantSplit/>
        </w:trPr>
        <w:tc>
          <w:tcPr>
            <w:tcW w:type="dxa" w:w="3742"/>
            <w:vAlign w:val="center"/>
            <w:shd w:fill="F5F7FA"/>
          </w:tcPr>
          <w:p>
            <w:pPr>
              <w:spacing w:after="0" w:line="269" w:lineRule="auto"/>
              <w:jc w:val="left"/>
            </w:pPr>
            <w:r>
              <w:rPr>
                <w:b w:val="0"/>
                <w:sz w:val="18"/>
              </w:rPr>
              <w:t>全部验证样本合并</w:t>
            </w:r>
          </w:p>
        </w:tc>
        <w:tc>
          <w:tcPr>
            <w:tcW w:type="dxa" w:w="2948"/>
            <w:vAlign w:val="center"/>
            <w:shd w:fill="F5F7FA"/>
          </w:tcPr>
          <w:p>
            <w:pPr>
              <w:spacing w:after="0" w:line="269" w:lineRule="auto"/>
              <w:jc w:val="center"/>
            </w:pPr>
            <w:r>
              <w:rPr>
                <w:b w:val="0"/>
                <w:sz w:val="18"/>
              </w:rPr>
              <w:t>3963 / 7285 = 54.40%</w:t>
            </w:r>
          </w:p>
        </w:tc>
        <w:tc>
          <w:tcPr>
            <w:tcW w:type="dxa" w:w="2948"/>
            <w:vAlign w:val="center"/>
            <w:shd w:fill="F5F7FA"/>
          </w:tcPr>
          <w:p>
            <w:pPr>
              <w:spacing w:after="0" w:line="269" w:lineRule="auto"/>
              <w:jc w:val="center"/>
            </w:pPr>
            <w:r>
              <w:rPr>
                <w:b w:val="0"/>
                <w:sz w:val="18"/>
              </w:rPr>
              <w:t>164 / 235 = 69.79%</w:t>
            </w:r>
          </w:p>
        </w:tc>
      </w:tr>
    </w:tbl>
    <w:p>
      <w:pPr>
        <w:spacing w:before="120"/>
      </w:pPr>
      <w:r>
        <w:t>全部五折已完成，结果文件不属于 smoke test。验证折同时参与模型选择，未另设独立 test 集；原 GitClone 中 test 命名也不代表独立留出测试。</w:t>
      </w:r>
    </w:p>
    <w:p>
      <w:pPr>
        <w:pStyle w:val="Heading1"/>
        <w:pageBreakBefore/>
      </w:pPr>
      <w:r>
        <w:t>窗口与 trial 结果差异分析</w:t>
      </w:r>
    </w:p>
    <w:p>
      <w:r>
        <w:t>窗口准确率是每个 1 秒窗口单独判断的正确率。Trial 准确率先平均该 trial 31 个窗口的四类 softmax 概率，再取最大类别。它属于软投票，不是把窗口类别计数后直接多数表决。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6803"/>
        <w:gridCol w:w="2835"/>
      </w:tblGrid>
      <w:tr>
        <w:trPr>
          <w:tblHeader/>
          <w:cantSplit/>
        </w:trPr>
        <w:tc>
          <w:tcPr>
            <w:tcW w:type="dxa" w:w="6803"/>
            <w:vAlign w:val="center"/>
            <w:shd w:fill="DCE6F1"/>
          </w:tcPr>
          <w:p>
            <w:pPr>
              <w:spacing w:after="0" w:line="269" w:lineRule="auto"/>
              <w:jc w:val="left"/>
            </w:pPr>
            <w:r>
              <w:rPr>
                <w:b/>
                <w:sz w:val="18"/>
              </w:rPr>
              <w:t>相同预测的评估方式</w:t>
            </w:r>
          </w:p>
        </w:tc>
        <w:tc>
          <w:tcPr>
            <w:tcW w:type="dxa" w:w="2835"/>
            <w:vAlign w:val="center"/>
            <w:shd w:fill="DCE6F1"/>
          </w:tcPr>
          <w:p>
            <w:pPr>
              <w:spacing w:after="0" w:line="269" w:lineRule="auto"/>
              <w:jc w:val="center"/>
            </w:pPr>
            <w:r>
              <w:rPr>
                <w:b/>
                <w:sz w:val="18"/>
              </w:rPr>
              <w:t>准确率</w:t>
            </w:r>
          </w:p>
        </w:tc>
      </w:tr>
      <w:tr>
        <w:trPr>
          <w:cantSplit/>
        </w:trPr>
        <w:tc>
          <w:tcPr>
            <w:tcW w:type="dxa" w:w="6803"/>
            <w:vAlign w:val="center"/>
            <w:shd w:fill="FFFFFF"/>
          </w:tcPr>
          <w:p>
            <w:pPr>
              <w:spacing w:after="0" w:line="269" w:lineRule="auto"/>
              <w:jc w:val="left"/>
            </w:pPr>
            <w:r>
              <w:rPr>
                <w:b w:val="0"/>
                <w:sz w:val="18"/>
              </w:rPr>
              <w:t>Window 分别判断</w:t>
            </w:r>
          </w:p>
        </w:tc>
        <w:tc>
          <w:tcPr>
            <w:tcW w:type="dxa" w:w="2835"/>
            <w:vAlign w:val="center"/>
            <w:shd w:fill="FFFFFF"/>
          </w:tcPr>
          <w:p>
            <w:pPr>
              <w:spacing w:after="0" w:line="269" w:lineRule="auto"/>
              <w:jc w:val="center"/>
            </w:pPr>
            <w:r>
              <w:rPr>
                <w:b w:val="0"/>
                <w:sz w:val="18"/>
              </w:rPr>
              <w:t>54.40%</w:t>
            </w:r>
          </w:p>
        </w:tc>
      </w:tr>
      <w:tr>
        <w:trPr>
          <w:cantSplit/>
        </w:trPr>
        <w:tc>
          <w:tcPr>
            <w:tcW w:type="dxa" w:w="6803"/>
            <w:vAlign w:val="center"/>
            <w:shd w:fill="F5F7FA"/>
          </w:tcPr>
          <w:p>
            <w:pPr>
              <w:spacing w:after="0" w:line="269" w:lineRule="auto"/>
              <w:jc w:val="left"/>
            </w:pPr>
            <w:r>
              <w:rPr>
                <w:b w:val="0"/>
                <w:sz w:val="18"/>
              </w:rPr>
              <w:t>Trial 硬投票</w:t>
            </w:r>
          </w:p>
        </w:tc>
        <w:tc>
          <w:tcPr>
            <w:tcW w:type="dxa" w:w="2835"/>
            <w:vAlign w:val="center"/>
            <w:shd w:fill="F5F7FA"/>
          </w:tcPr>
          <w:p>
            <w:pPr>
              <w:spacing w:after="0" w:line="269" w:lineRule="auto"/>
              <w:jc w:val="center"/>
            </w:pPr>
            <w:r>
              <w:rPr>
                <w:b w:val="0"/>
                <w:sz w:val="18"/>
              </w:rPr>
              <w:t>68.94%</w:t>
            </w:r>
          </w:p>
        </w:tc>
      </w:tr>
      <w:tr>
        <w:trPr>
          <w:cantSplit/>
        </w:trPr>
        <w:tc>
          <w:tcPr>
            <w:tcW w:type="dxa" w:w="6803"/>
            <w:vAlign w:val="center"/>
            <w:shd w:fill="FFFFFF"/>
          </w:tcPr>
          <w:p>
            <w:pPr>
              <w:spacing w:after="0" w:line="269" w:lineRule="auto"/>
              <w:jc w:val="left"/>
            </w:pPr>
            <w:r>
              <w:rPr>
                <w:b w:val="0"/>
                <w:sz w:val="18"/>
              </w:rPr>
              <w:t>Trial 平均概率</w:t>
            </w:r>
          </w:p>
        </w:tc>
        <w:tc>
          <w:tcPr>
            <w:tcW w:type="dxa" w:w="2835"/>
            <w:vAlign w:val="center"/>
            <w:shd w:fill="FFFFFF"/>
          </w:tcPr>
          <w:p>
            <w:pPr>
              <w:spacing w:after="0" w:line="269" w:lineRule="auto"/>
              <w:jc w:val="center"/>
            </w:pPr>
            <w:r>
              <w:rPr>
                <w:b w:val="0"/>
                <w:sz w:val="18"/>
              </w:rPr>
              <w:t>69.79%</w:t>
            </w:r>
          </w:p>
        </w:tc>
      </w:tr>
    </w:tbl>
    <w:p>
      <w:pPr>
        <w:spacing w:before="120"/>
      </w:pPr>
      <w:r>
        <w:t>总提升为 15.39 个百分点，而软投票相对硬投票只净增加 2 个正确 trial，即 0.85 个百分点。主要收益来自跨窗口汇总，而非软投票这一细节本身。</w:t>
      </w:r>
    </w:p>
    <w:p>
      <w:r>
        <w:t>有 27 个最终判对的 trial，其正确窗口不到一半。四分类只需正确类优于每个其他类，并不要求超过 50%。例如真实右手 trial 的票数为 [6, 10, 8, 7]，虽然只有 10/31 窗口正确，右手仍然是得票最多的类别。</w:t>
      </w:r>
    </w:p>
    <w:p>
      <w:r>
        <w:t>164 个判对 trial 内的平均窗口正确率为 68.75%；71 个判错 trial 内仍有 21.26% 的窗口判对。存在 4 个多数窗口判对、但概率平均后判错的 trial，说明聚合也可能损失正确判断。</w:t>
      </w:r>
    </w:p>
    <w:p>
      <w:pPr>
        <w:pStyle w:val="Heading2"/>
      </w:pPr>
      <w:r>
        <w:t>跨时间覆盖的对照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6803"/>
        <w:gridCol w:w="2835"/>
      </w:tblGrid>
      <w:tr>
        <w:trPr>
          <w:tblHeader/>
          <w:cantSplit/>
        </w:trPr>
        <w:tc>
          <w:tcPr>
            <w:tcW w:type="dxa" w:w="6803"/>
            <w:vAlign w:val="center"/>
            <w:shd w:fill="DCE6F1"/>
          </w:tcPr>
          <w:p>
            <w:pPr>
              <w:spacing w:after="0" w:line="269" w:lineRule="auto"/>
              <w:jc w:val="left"/>
            </w:pPr>
            <w:r>
              <w:rPr>
                <w:b/>
                <w:sz w:val="18"/>
              </w:rPr>
              <w:t>用于概率平均的窗口</w:t>
            </w:r>
          </w:p>
        </w:tc>
        <w:tc>
          <w:tcPr>
            <w:tcW w:type="dxa" w:w="2835"/>
            <w:vAlign w:val="center"/>
            <w:shd w:fill="DCE6F1"/>
          </w:tcPr>
          <w:p>
            <w:pPr>
              <w:spacing w:after="0" w:line="269" w:lineRule="auto"/>
              <w:jc w:val="center"/>
            </w:pPr>
            <w:r>
              <w:rPr>
                <w:b/>
                <w:sz w:val="18"/>
              </w:rPr>
              <w:t>Trial 准确率</w:t>
            </w:r>
          </w:p>
        </w:tc>
      </w:tr>
      <w:tr>
        <w:trPr>
          <w:cantSplit/>
        </w:trPr>
        <w:tc>
          <w:tcPr>
            <w:tcW w:type="dxa" w:w="6803"/>
            <w:vAlign w:val="center"/>
            <w:shd w:fill="FFFFFF"/>
          </w:tcPr>
          <w:p>
            <w:pPr>
              <w:spacing w:after="0" w:line="269" w:lineRule="auto"/>
              <w:jc w:val="left"/>
            </w:pPr>
            <w:r>
              <w:rPr>
                <w:b w:val="0"/>
                <w:sz w:val="18"/>
              </w:rPr>
              <w:t>连续四个相邻窗口 遍历全部 28 个位置后平均</w:t>
            </w:r>
          </w:p>
        </w:tc>
        <w:tc>
          <w:tcPr>
            <w:tcW w:type="dxa" w:w="2835"/>
            <w:vAlign w:val="center"/>
            <w:shd w:fill="FFFFFF"/>
          </w:tcPr>
          <w:p>
            <w:pPr>
              <w:spacing w:after="0" w:line="269" w:lineRule="auto"/>
              <w:jc w:val="center"/>
            </w:pPr>
            <w:r>
              <w:rPr>
                <w:b w:val="0"/>
                <w:sz w:val="18"/>
              </w:rPr>
              <w:t>54.98%</w:t>
            </w:r>
          </w:p>
        </w:tc>
      </w:tr>
      <w:tr>
        <w:trPr>
          <w:cantSplit/>
        </w:trPr>
        <w:tc>
          <w:tcPr>
            <w:tcW w:type="dxa" w:w="6803"/>
            <w:vAlign w:val="center"/>
            <w:shd w:fill="F5F7FA"/>
          </w:tcPr>
          <w:p>
            <w:pPr>
              <w:spacing w:after="0" w:line="269" w:lineRule="auto"/>
              <w:jc w:val="left"/>
            </w:pPr>
            <w:r>
              <w:rPr>
                <w:b w:val="0"/>
                <w:sz w:val="18"/>
              </w:rPr>
              <w:t>起点为 1 2 3 4 秒的四个不重叠窗口</w:t>
            </w:r>
          </w:p>
        </w:tc>
        <w:tc>
          <w:tcPr>
            <w:tcW w:type="dxa" w:w="2835"/>
            <w:vAlign w:val="center"/>
            <w:shd w:fill="F5F7FA"/>
          </w:tcPr>
          <w:p>
            <w:pPr>
              <w:spacing w:after="0" w:line="269" w:lineRule="auto"/>
              <w:jc w:val="center"/>
            </w:pPr>
            <w:r>
              <w:rPr>
                <w:b w:val="0"/>
                <w:sz w:val="18"/>
              </w:rPr>
              <w:t>68.51%</w:t>
            </w:r>
          </w:p>
        </w:tc>
      </w:tr>
      <w:tr>
        <w:trPr>
          <w:cantSplit/>
        </w:trPr>
        <w:tc>
          <w:tcPr>
            <w:tcW w:type="dxa" w:w="6803"/>
            <w:vAlign w:val="center"/>
            <w:shd w:fill="FFFFFF"/>
          </w:tcPr>
          <w:p>
            <w:pPr>
              <w:spacing w:after="0" w:line="269" w:lineRule="auto"/>
              <w:jc w:val="left"/>
            </w:pPr>
            <w:r>
              <w:rPr>
                <w:b w:val="0"/>
                <w:sz w:val="18"/>
              </w:rPr>
              <w:t>全部 31 个窗口</w:t>
            </w:r>
          </w:p>
        </w:tc>
        <w:tc>
          <w:tcPr>
            <w:tcW w:type="dxa" w:w="2835"/>
            <w:vAlign w:val="center"/>
            <w:shd w:fill="FFFFFF"/>
          </w:tcPr>
          <w:p>
            <w:pPr>
              <w:spacing w:after="0" w:line="269" w:lineRule="auto"/>
              <w:jc w:val="center"/>
            </w:pPr>
            <w:r>
              <w:rPr>
                <w:b w:val="0"/>
                <w:sz w:val="18"/>
              </w:rPr>
              <w:t>69.79%</w:t>
            </w:r>
          </w:p>
        </w:tc>
      </w:tr>
    </w:tbl>
    <w:p>
      <w:pPr>
        <w:spacing w:before="120"/>
      </w:pPr>
      <w:r>
        <w:t>随机选取不同窗口并平均概率，k 为 1、2、4、8、16、31 时，准确率依次为 54.40%、60.34%、64.42%、67.42%、69.15%、69.79%。中间各 k 重复随机选择 1,000 次；这不是重新训练，也不是总体置信区间。</w:t>
      </w:r>
    </w:p>
    <w:p>
      <w:r>
        <w:t>相邻窗口类别预测一致率为 86.94%，相隔 1 秒为 47.78%。相邻窗口重叠 90%，不能视为 31 次独立试验。结果支持跨时间覆盖的重要性，但不能仅由保存的概率确定具体生理波动、伪迹或错误成因。</w:t>
      </w:r>
    </w:p>
    <w:p>
      <w:pPr>
        <w:pStyle w:val="Heading2"/>
      </w:pPr>
      <w:r>
        <w:t>类别与 session 差异</w:t>
      </w:r>
    </w:p>
    <w:p>
      <w:r>
        <w:t>Trial 级各类召回率为：左手 67.24%、右手 84.48%、双手 71.67%、双脚 55.93%。按来源 session 汇总的 trial 准确率为 hyz_1 79.22%、hyz_2 59.49%、hyz_3 70.89%；这些仍是 session 混合分折下的分组统计。</w:t>
      </w:r>
    </w:p>
    <w:p>
      <w:pPr>
        <w:pStyle w:val="Heading1"/>
        <w:pageBreakBefore/>
      </w:pPr>
      <w:r>
        <w:t>两种 topomap 方法</w:t>
      </w:r>
    </w:p>
    <w:p>
      <w:r>
        <w:t>检索本地 GitClone 后未找到现成的模型通道重要性 topomap，因此本次新增了两种互补方法。MNE 预处理头皮图不直接作为模型解释。</w:t>
      </w:r>
    </w:p>
    <w:p>
      <w:pPr>
        <w:pStyle w:val="Heading2"/>
      </w:pPr>
      <w:r>
        <w:t>逐通道消融结合 R²</w:t>
      </w:r>
    </w:p>
    <w:p>
      <w:r>
        <w:t>每折冻结 checkpoint，只使用自己的验证 trial。每次将一个输入通道的全部时间点置零，同一 trial 的 31 个窗口均进行相同操作。先复现原基线，再执行 16 次通道消融。</w:t>
      </w:r>
    </w:p>
    <w:p>
      <w:r>
        <w:t>R² 的目标是四维 one-hot，预测值是 softmax 前的原始输出。主结果先平均一个 trial 内的原始输出，再计算每一维的 R²。四维结果等权平均，得到总体分数。</w:t>
      </w:r>
    </w:p>
    <w:p>
      <w:pPr>
        <w:jc w:val="center"/>
      </w:pPr>
      <m:oMath>
        <m:r>
          <m:t>ΔR²(f,c,k) = R²(Yₖ, mean(zₖ)) − R²(Yₖ, mean(zₖ without channel c))</m:t>
        </m:r>
      </m:oMath>
    </w:p>
    <w:p>
      <w:r>
        <w:t>正值表示去掉通道后拟合下降；负值表示去掉通道反而改善拟合，保留负值。类别图针对全部验证 trial 做 one-vs-rest，不能只取某一个类别，否则目标恒定。跨折按验证 trial 数加权平均，使用加权总体标准差；这不是重新计算的 pooled R²。</w:t>
      </w:r>
    </w:p>
    <w:p>
      <w:r>
        <w:t>准确率仍按原来的平均 softmax 概率计算，和 R² 的原始输出汇总分开保存。训练 loss 的 gamma 与样本权重不复用于这里的未加权 R²。</w:t>
      </w:r>
    </w:p>
    <w:p>
      <w:pPr>
        <w:pStyle w:val="Heading2"/>
      </w:pPr>
      <w:r>
        <w:t>从实际生效的 kernel 计算系数分布</w:t>
      </w:r>
    </w:p>
    <w:p>
      <w:r>
        <w:t>空间 kernel 使用模型前向中的 max-norm 约束，并计入两个 BatchNorm 的 eval 缩放 b=gamma/sqrt(running_var+eps)。与对应时间 kernel 相乘，得到第一层 ELU 前的时空系数 H。</w:t>
      </w:r>
    </w:p>
    <w:p>
      <w:pPr>
        <w:jc w:val="center"/>
      </w:pPr>
      <m:oMath>
        <m:r>
          <m:t>H(j,c,t) = b₂(j) W_effective(j,c) b₁(parent(j)) T(parent(j),t)</m:t>
        </m:r>
      </m:oMath>
    </w:p>
    <w:p>
      <w:pPr>
        <w:jc w:val="center"/>
      </w:pPr>
      <m:oMath>
        <m:r>
          <m:t>E(c) = Σⱼ,ₜ H(j,c,t)²     K(c) = E(c) / Σc′ E(c′)</m:t>
        </m:r>
      </m:oMath>
    </w:p>
    <w:p>
      <w:r>
        <w:t>每折按通道平方求和后归一化成能量占比，再对五折等权平均并计算总体标准差。不同折的第几个 kernel 不具有固定对应关系，因此不直接跨折平均单个有符号 kernel。偏置、后续非线性及最终分类器不计入系数能量。</w:t>
      </w:r>
    </w:p>
    <w:p>
      <w:r>
        <w:t>另输出每折 16 个有符号空间滤波器图，标注其所属时间滤波器。Kernel 图表达权重结构，不生成分类别的最终决策贡献图，也不等同于脑活动源定位。</w:t>
      </w:r>
    </w:p>
    <w:p>
      <w:pPr>
        <w:pStyle w:val="Heading1"/>
        <w:pageBreakBefore/>
      </w:pPr>
      <w:r>
        <w:t>通道分析的结果与核验</w:t>
      </w:r>
    </w:p>
    <w:p>
      <w:r>
        <w:t>两种分析都将 C3、C4 排在前两位。其余通道的排序存在差异：例如 O1 的 kernel 占比较高，但对真实标签的消融 ΔR² 较小。不能只看某个系数大，就断言该通道对最终分类更重要。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1701"/>
        <w:gridCol w:w="4082"/>
        <w:gridCol w:w="3855"/>
      </w:tblGrid>
      <w:tr>
        <w:trPr>
          <w:tblHeader/>
          <w:cantSplit/>
        </w:trPr>
        <w:tc>
          <w:tcPr>
            <w:tcW w:type="dxa" w:w="1701"/>
            <w:vAlign w:val="center"/>
            <w:shd w:fill="DCE6F1"/>
          </w:tcPr>
          <w:p>
            <w:pPr>
              <w:spacing w:after="0" w:line="269" w:lineRule="auto"/>
              <w:jc w:val="left"/>
            </w:pPr>
            <w:r>
              <w:rPr>
                <w:b/>
                <w:sz w:val="18"/>
              </w:rPr>
              <w:t>通道</w:t>
            </w:r>
          </w:p>
        </w:tc>
        <w:tc>
          <w:tcPr>
            <w:tcW w:type="dxa" w:w="4082"/>
            <w:vAlign w:val="center"/>
            <w:shd w:fill="DCE6F1"/>
          </w:tcPr>
          <w:p>
            <w:pPr>
              <w:spacing w:after="0" w:line="269" w:lineRule="auto"/>
              <w:jc w:val="center"/>
            </w:pPr>
            <w:r>
              <w:rPr>
                <w:b/>
                <w:sz w:val="18"/>
              </w:rPr>
              <w:t>加权平均 trial ΔR²</w:t>
            </w:r>
          </w:p>
        </w:tc>
        <w:tc>
          <w:tcPr>
            <w:tcW w:type="dxa" w:w="3855"/>
            <w:vAlign w:val="center"/>
            <w:shd w:fill="DCE6F1"/>
          </w:tcPr>
          <w:p>
            <w:pPr>
              <w:spacing w:after="0" w:line="269" w:lineRule="auto"/>
              <w:jc w:val="center"/>
            </w:pPr>
            <w:r>
              <w:rPr>
                <w:b/>
                <w:sz w:val="18"/>
              </w:rPr>
              <w:t>Kernel 能量占比</w:t>
            </w:r>
          </w:p>
        </w:tc>
      </w:tr>
      <w:tr>
        <w:trPr>
          <w:cantSplit/>
        </w:trPr>
        <w:tc>
          <w:tcPr>
            <w:tcW w:type="dxa" w:w="1701"/>
            <w:vAlign w:val="center"/>
            <w:shd w:fill="FFFFFF"/>
          </w:tcPr>
          <w:p>
            <w:pPr>
              <w:spacing w:after="0" w:line="269" w:lineRule="auto"/>
              <w:jc w:val="left"/>
            </w:pPr>
            <w:r>
              <w:rPr>
                <w:b w:val="0"/>
                <w:sz w:val="18"/>
              </w:rPr>
              <w:t>C3</w:t>
            </w:r>
          </w:p>
        </w:tc>
        <w:tc>
          <w:tcPr>
            <w:tcW w:type="dxa" w:w="4082"/>
            <w:vAlign w:val="center"/>
            <w:shd w:fill="FFFFFF"/>
          </w:tcPr>
          <w:p>
            <w:pPr>
              <w:spacing w:after="0" w:line="269" w:lineRule="auto"/>
              <w:jc w:val="center"/>
            </w:pPr>
            <w:r>
              <w:rPr>
                <w:b w:val="0"/>
                <w:sz w:val="18"/>
              </w:rPr>
              <w:t>0.27565</w:t>
            </w:r>
          </w:p>
        </w:tc>
        <w:tc>
          <w:tcPr>
            <w:tcW w:type="dxa" w:w="3855"/>
            <w:vAlign w:val="center"/>
            <w:shd w:fill="FFFFFF"/>
          </w:tcPr>
          <w:p>
            <w:pPr>
              <w:spacing w:after="0" w:line="269" w:lineRule="auto"/>
              <w:jc w:val="center"/>
            </w:pPr>
            <w:r>
              <w:rPr>
                <w:b w:val="0"/>
                <w:sz w:val="18"/>
              </w:rPr>
              <w:t>26.77%</w:t>
            </w:r>
          </w:p>
        </w:tc>
      </w:tr>
      <w:tr>
        <w:trPr>
          <w:cantSplit/>
        </w:trPr>
        <w:tc>
          <w:tcPr>
            <w:tcW w:type="dxa" w:w="1701"/>
            <w:vAlign w:val="center"/>
            <w:shd w:fill="F5F7FA"/>
          </w:tcPr>
          <w:p>
            <w:pPr>
              <w:spacing w:after="0" w:line="269" w:lineRule="auto"/>
              <w:jc w:val="left"/>
            </w:pPr>
            <w:r>
              <w:rPr>
                <w:b w:val="0"/>
                <w:sz w:val="18"/>
              </w:rPr>
              <w:t>C4</w:t>
            </w:r>
          </w:p>
        </w:tc>
        <w:tc>
          <w:tcPr>
            <w:tcW w:type="dxa" w:w="4082"/>
            <w:vAlign w:val="center"/>
            <w:shd w:fill="F5F7FA"/>
          </w:tcPr>
          <w:p>
            <w:pPr>
              <w:spacing w:after="0" w:line="269" w:lineRule="auto"/>
              <w:jc w:val="center"/>
            </w:pPr>
            <w:r>
              <w:rPr>
                <w:b w:val="0"/>
                <w:sz w:val="18"/>
              </w:rPr>
              <w:t>0.20955</w:t>
            </w:r>
          </w:p>
        </w:tc>
        <w:tc>
          <w:tcPr>
            <w:tcW w:type="dxa" w:w="3855"/>
            <w:vAlign w:val="center"/>
            <w:shd w:fill="F5F7FA"/>
          </w:tcPr>
          <w:p>
            <w:pPr>
              <w:spacing w:after="0" w:line="269" w:lineRule="auto"/>
              <w:jc w:val="center"/>
            </w:pPr>
            <w:r>
              <w:rPr>
                <w:b w:val="0"/>
                <w:sz w:val="18"/>
              </w:rPr>
              <w:t>20.02%</w:t>
            </w:r>
          </w:p>
        </w:tc>
      </w:tr>
      <w:tr>
        <w:trPr>
          <w:cantSplit/>
        </w:trPr>
        <w:tc>
          <w:tcPr>
            <w:tcW w:type="dxa" w:w="1701"/>
            <w:vAlign w:val="center"/>
            <w:shd w:fill="FFFFFF"/>
          </w:tcPr>
          <w:p>
            <w:pPr>
              <w:spacing w:after="0" w:line="269" w:lineRule="auto"/>
              <w:jc w:val="left"/>
            </w:pPr>
            <w:r>
              <w:rPr>
                <w:b w:val="0"/>
                <w:sz w:val="18"/>
              </w:rPr>
              <w:t>T8</w:t>
            </w:r>
          </w:p>
        </w:tc>
        <w:tc>
          <w:tcPr>
            <w:tcW w:type="dxa" w:w="4082"/>
            <w:vAlign w:val="center"/>
            <w:shd w:fill="FFFFFF"/>
          </w:tcPr>
          <w:p>
            <w:pPr>
              <w:spacing w:after="0" w:line="269" w:lineRule="auto"/>
              <w:jc w:val="center"/>
            </w:pPr>
            <w:r>
              <w:rPr>
                <w:b w:val="0"/>
                <w:sz w:val="18"/>
              </w:rPr>
              <w:t>0.01310</w:t>
            </w:r>
          </w:p>
        </w:tc>
        <w:tc>
          <w:tcPr>
            <w:tcW w:type="dxa" w:w="3855"/>
            <w:vAlign w:val="center"/>
            <w:shd w:fill="FFFFFF"/>
          </w:tcPr>
          <w:p>
            <w:pPr>
              <w:spacing w:after="0" w:line="269" w:lineRule="auto"/>
              <w:jc w:val="center"/>
            </w:pPr>
            <w:r>
              <w:rPr>
                <w:b w:val="0"/>
                <w:sz w:val="18"/>
              </w:rPr>
              <w:t>5.93%</w:t>
            </w:r>
          </w:p>
        </w:tc>
      </w:tr>
      <w:tr>
        <w:trPr>
          <w:cantSplit/>
        </w:trPr>
        <w:tc>
          <w:tcPr>
            <w:tcW w:type="dxa" w:w="1701"/>
            <w:vAlign w:val="center"/>
            <w:shd w:fill="F5F7FA"/>
          </w:tcPr>
          <w:p>
            <w:pPr>
              <w:spacing w:after="0" w:line="269" w:lineRule="auto"/>
              <w:jc w:val="left"/>
            </w:pPr>
            <w:r>
              <w:rPr>
                <w:b w:val="0"/>
                <w:sz w:val="18"/>
              </w:rPr>
              <w:t>Pz</w:t>
            </w:r>
          </w:p>
        </w:tc>
        <w:tc>
          <w:tcPr>
            <w:tcW w:type="dxa" w:w="4082"/>
            <w:vAlign w:val="center"/>
            <w:shd w:fill="F5F7FA"/>
          </w:tcPr>
          <w:p>
            <w:pPr>
              <w:spacing w:after="0" w:line="269" w:lineRule="auto"/>
              <w:jc w:val="center"/>
            </w:pPr>
            <w:r>
              <w:rPr>
                <w:b w:val="0"/>
                <w:sz w:val="18"/>
              </w:rPr>
              <w:t>0.00997</w:t>
            </w:r>
          </w:p>
        </w:tc>
        <w:tc>
          <w:tcPr>
            <w:tcW w:type="dxa" w:w="3855"/>
            <w:vAlign w:val="center"/>
            <w:shd w:fill="F5F7FA"/>
          </w:tcPr>
          <w:p>
            <w:pPr>
              <w:spacing w:after="0" w:line="269" w:lineRule="auto"/>
              <w:jc w:val="center"/>
            </w:pPr>
            <w:r>
              <w:rPr>
                <w:b w:val="0"/>
                <w:sz w:val="18"/>
              </w:rPr>
              <w:t>4.23%</w:t>
            </w:r>
          </w:p>
        </w:tc>
      </w:tr>
      <w:tr>
        <w:trPr>
          <w:cantSplit/>
        </w:trPr>
        <w:tc>
          <w:tcPr>
            <w:tcW w:type="dxa" w:w="1701"/>
            <w:vAlign w:val="center"/>
            <w:shd w:fill="FFFFFF"/>
          </w:tcPr>
          <w:p>
            <w:pPr>
              <w:spacing w:after="0" w:line="269" w:lineRule="auto"/>
              <w:jc w:val="left"/>
            </w:pPr>
            <w:r>
              <w:rPr>
                <w:b w:val="0"/>
                <w:sz w:val="18"/>
              </w:rPr>
              <w:t>F3</w:t>
            </w:r>
          </w:p>
        </w:tc>
        <w:tc>
          <w:tcPr>
            <w:tcW w:type="dxa" w:w="4082"/>
            <w:vAlign w:val="center"/>
            <w:shd w:fill="FFFFFF"/>
          </w:tcPr>
          <w:p>
            <w:pPr>
              <w:spacing w:after="0" w:line="269" w:lineRule="auto"/>
              <w:jc w:val="center"/>
            </w:pPr>
            <w:r>
              <w:rPr>
                <w:b w:val="0"/>
                <w:sz w:val="18"/>
              </w:rPr>
              <w:t>0.00862</w:t>
            </w:r>
          </w:p>
        </w:tc>
        <w:tc>
          <w:tcPr>
            <w:tcW w:type="dxa" w:w="3855"/>
            <w:vAlign w:val="center"/>
            <w:shd w:fill="FFFFFF"/>
          </w:tcPr>
          <w:p>
            <w:pPr>
              <w:spacing w:after="0" w:line="269" w:lineRule="auto"/>
              <w:jc w:val="center"/>
            </w:pPr>
            <w:r>
              <w:rPr>
                <w:b w:val="0"/>
                <w:sz w:val="18"/>
              </w:rPr>
              <w:t>4.04%</w:t>
            </w:r>
          </w:p>
        </w:tc>
      </w:tr>
      <w:tr>
        <w:trPr>
          <w:cantSplit/>
        </w:trPr>
        <w:tc>
          <w:tcPr>
            <w:tcW w:type="dxa" w:w="1701"/>
            <w:vAlign w:val="center"/>
            <w:shd w:fill="F5F7FA"/>
          </w:tcPr>
          <w:p>
            <w:pPr>
              <w:spacing w:after="0" w:line="269" w:lineRule="auto"/>
              <w:jc w:val="left"/>
            </w:pPr>
            <w:r>
              <w:rPr>
                <w:b w:val="0"/>
                <w:sz w:val="18"/>
              </w:rPr>
              <w:t>T7</w:t>
            </w:r>
          </w:p>
        </w:tc>
        <w:tc>
          <w:tcPr>
            <w:tcW w:type="dxa" w:w="4082"/>
            <w:vAlign w:val="center"/>
            <w:shd w:fill="F5F7FA"/>
          </w:tcPr>
          <w:p>
            <w:pPr>
              <w:spacing w:after="0" w:line="269" w:lineRule="auto"/>
              <w:jc w:val="center"/>
            </w:pPr>
            <w:r>
              <w:rPr>
                <w:b w:val="0"/>
                <w:sz w:val="18"/>
              </w:rPr>
              <w:t>0.00737</w:t>
            </w:r>
          </w:p>
        </w:tc>
        <w:tc>
          <w:tcPr>
            <w:tcW w:type="dxa" w:w="3855"/>
            <w:vAlign w:val="center"/>
            <w:shd w:fill="F5F7FA"/>
          </w:tcPr>
          <w:p>
            <w:pPr>
              <w:spacing w:after="0" w:line="269" w:lineRule="auto"/>
              <w:jc w:val="center"/>
            </w:pPr>
            <w:r>
              <w:rPr>
                <w:b w:val="0"/>
                <w:sz w:val="18"/>
              </w:rPr>
              <w:t>5.06%</w:t>
            </w:r>
          </w:p>
        </w:tc>
      </w:tr>
      <w:tr>
        <w:trPr>
          <w:cantSplit/>
        </w:trPr>
        <w:tc>
          <w:tcPr>
            <w:tcW w:type="dxa" w:w="1701"/>
            <w:vAlign w:val="center"/>
            <w:shd w:fill="FFFFFF"/>
          </w:tcPr>
          <w:p>
            <w:pPr>
              <w:spacing w:after="0" w:line="269" w:lineRule="auto"/>
              <w:jc w:val="left"/>
            </w:pPr>
            <w:r>
              <w:rPr>
                <w:b w:val="0"/>
                <w:sz w:val="18"/>
              </w:rPr>
              <w:t>O2</w:t>
            </w:r>
          </w:p>
        </w:tc>
        <w:tc>
          <w:tcPr>
            <w:tcW w:type="dxa" w:w="4082"/>
            <w:vAlign w:val="center"/>
            <w:shd w:fill="FFFFFF"/>
          </w:tcPr>
          <w:p>
            <w:pPr>
              <w:spacing w:after="0" w:line="269" w:lineRule="auto"/>
              <w:jc w:val="center"/>
            </w:pPr>
            <w:r>
              <w:rPr>
                <w:b w:val="0"/>
                <w:sz w:val="18"/>
              </w:rPr>
              <w:t>0.00709</w:t>
            </w:r>
          </w:p>
        </w:tc>
        <w:tc>
          <w:tcPr>
            <w:tcW w:type="dxa" w:w="3855"/>
            <w:vAlign w:val="center"/>
            <w:shd w:fill="FFFFFF"/>
          </w:tcPr>
          <w:p>
            <w:pPr>
              <w:spacing w:after="0" w:line="269" w:lineRule="auto"/>
              <w:jc w:val="center"/>
            </w:pPr>
            <w:r>
              <w:rPr>
                <w:b w:val="0"/>
                <w:sz w:val="18"/>
              </w:rPr>
              <w:t>4.15%</w:t>
            </w:r>
          </w:p>
        </w:tc>
      </w:tr>
      <w:tr>
        <w:trPr>
          <w:cantSplit/>
        </w:trPr>
        <w:tc>
          <w:tcPr>
            <w:tcW w:type="dxa" w:w="1701"/>
            <w:vAlign w:val="center"/>
            <w:shd w:fill="F5F7FA"/>
          </w:tcPr>
          <w:p>
            <w:pPr>
              <w:spacing w:after="0" w:line="269" w:lineRule="auto"/>
              <w:jc w:val="left"/>
            </w:pPr>
            <w:r>
              <w:rPr>
                <w:b w:val="0"/>
                <w:sz w:val="18"/>
              </w:rPr>
              <w:t>Fz</w:t>
            </w:r>
          </w:p>
        </w:tc>
        <w:tc>
          <w:tcPr>
            <w:tcW w:type="dxa" w:w="4082"/>
            <w:vAlign w:val="center"/>
            <w:shd w:fill="F5F7FA"/>
          </w:tcPr>
          <w:p>
            <w:pPr>
              <w:spacing w:after="0" w:line="269" w:lineRule="auto"/>
              <w:jc w:val="center"/>
            </w:pPr>
            <w:r>
              <w:rPr>
                <w:b w:val="0"/>
                <w:sz w:val="18"/>
              </w:rPr>
              <w:t>0.00614</w:t>
            </w:r>
          </w:p>
        </w:tc>
        <w:tc>
          <w:tcPr>
            <w:tcW w:type="dxa" w:w="3855"/>
            <w:vAlign w:val="center"/>
            <w:shd w:fill="F5F7FA"/>
          </w:tcPr>
          <w:p>
            <w:pPr>
              <w:spacing w:after="0" w:line="269" w:lineRule="auto"/>
              <w:jc w:val="center"/>
            </w:pPr>
            <w:r>
              <w:rPr>
                <w:b w:val="0"/>
                <w:sz w:val="18"/>
              </w:rPr>
              <w:t>3.37%</w:t>
            </w:r>
          </w:p>
        </w:tc>
      </w:tr>
      <w:tr>
        <w:trPr>
          <w:cantSplit/>
        </w:trPr>
        <w:tc>
          <w:tcPr>
            <w:tcW w:type="dxa" w:w="1701"/>
            <w:vAlign w:val="center"/>
            <w:shd w:fill="FFFFFF"/>
          </w:tcPr>
          <w:p>
            <w:pPr>
              <w:spacing w:after="0" w:line="269" w:lineRule="auto"/>
              <w:jc w:val="left"/>
            </w:pPr>
            <w:r>
              <w:rPr>
                <w:b w:val="0"/>
                <w:sz w:val="18"/>
              </w:rPr>
              <w:t>O1</w:t>
            </w:r>
          </w:p>
        </w:tc>
        <w:tc>
          <w:tcPr>
            <w:tcW w:type="dxa" w:w="4082"/>
            <w:vAlign w:val="center"/>
            <w:shd w:fill="FFFFFF"/>
          </w:tcPr>
          <w:p>
            <w:pPr>
              <w:spacing w:after="0" w:line="269" w:lineRule="auto"/>
              <w:jc w:val="center"/>
            </w:pPr>
            <w:r>
              <w:rPr>
                <w:b w:val="0"/>
                <w:sz w:val="18"/>
              </w:rPr>
              <w:t>0.00479</w:t>
            </w:r>
          </w:p>
        </w:tc>
        <w:tc>
          <w:tcPr>
            <w:tcW w:type="dxa" w:w="3855"/>
            <w:vAlign w:val="center"/>
            <w:shd w:fill="FFFFFF"/>
          </w:tcPr>
          <w:p>
            <w:pPr>
              <w:spacing w:after="0" w:line="269" w:lineRule="auto"/>
              <w:jc w:val="center"/>
            </w:pPr>
            <w:r>
              <w:rPr>
                <w:b w:val="0"/>
                <w:sz w:val="18"/>
              </w:rPr>
              <w:t>6.89%</w:t>
            </w:r>
          </w:p>
        </w:tc>
      </w:tr>
      <w:tr>
        <w:trPr>
          <w:cantSplit/>
        </w:trPr>
        <w:tc>
          <w:tcPr>
            <w:tcW w:type="dxa" w:w="1701"/>
            <w:vAlign w:val="center"/>
            <w:shd w:fill="F5F7FA"/>
          </w:tcPr>
          <w:p>
            <w:pPr>
              <w:spacing w:after="0" w:line="269" w:lineRule="auto"/>
              <w:jc w:val="left"/>
            </w:pPr>
            <w:r>
              <w:rPr>
                <w:b w:val="0"/>
                <w:sz w:val="18"/>
              </w:rPr>
              <w:t>P4</w:t>
            </w:r>
          </w:p>
        </w:tc>
        <w:tc>
          <w:tcPr>
            <w:tcW w:type="dxa" w:w="4082"/>
            <w:vAlign w:val="center"/>
            <w:shd w:fill="F5F7FA"/>
          </w:tcPr>
          <w:p>
            <w:pPr>
              <w:spacing w:after="0" w:line="269" w:lineRule="auto"/>
              <w:jc w:val="center"/>
            </w:pPr>
            <w:r>
              <w:rPr>
                <w:b w:val="0"/>
                <w:sz w:val="18"/>
              </w:rPr>
              <w:t>0.00399</w:t>
            </w:r>
          </w:p>
        </w:tc>
        <w:tc>
          <w:tcPr>
            <w:tcW w:type="dxa" w:w="3855"/>
            <w:vAlign w:val="center"/>
            <w:shd w:fill="F5F7FA"/>
          </w:tcPr>
          <w:p>
            <w:pPr>
              <w:spacing w:after="0" w:line="269" w:lineRule="auto"/>
              <w:jc w:val="center"/>
            </w:pPr>
            <w:r>
              <w:rPr>
                <w:b w:val="0"/>
                <w:sz w:val="18"/>
              </w:rPr>
              <w:t>4.68%</w:t>
            </w:r>
          </w:p>
        </w:tc>
      </w:tr>
      <w:tr>
        <w:trPr>
          <w:cantSplit/>
        </w:trPr>
        <w:tc>
          <w:tcPr>
            <w:tcW w:type="dxa" w:w="1701"/>
            <w:vAlign w:val="center"/>
            <w:shd w:fill="FFFFFF"/>
          </w:tcPr>
          <w:p>
            <w:pPr>
              <w:spacing w:after="0" w:line="269" w:lineRule="auto"/>
              <w:jc w:val="left"/>
            </w:pPr>
            <w:r>
              <w:rPr>
                <w:b w:val="0"/>
                <w:sz w:val="18"/>
              </w:rPr>
              <w:t>Cz</w:t>
            </w:r>
          </w:p>
        </w:tc>
        <w:tc>
          <w:tcPr>
            <w:tcW w:type="dxa" w:w="4082"/>
            <w:vAlign w:val="center"/>
            <w:shd w:fill="FFFFFF"/>
          </w:tcPr>
          <w:p>
            <w:pPr>
              <w:spacing w:after="0" w:line="269" w:lineRule="auto"/>
              <w:jc w:val="center"/>
            </w:pPr>
            <w:r>
              <w:rPr>
                <w:b w:val="0"/>
                <w:sz w:val="18"/>
              </w:rPr>
              <w:t>0.00076</w:t>
            </w:r>
          </w:p>
        </w:tc>
        <w:tc>
          <w:tcPr>
            <w:tcW w:type="dxa" w:w="3855"/>
            <w:vAlign w:val="center"/>
            <w:shd w:fill="FFFFFF"/>
          </w:tcPr>
          <w:p>
            <w:pPr>
              <w:spacing w:after="0" w:line="269" w:lineRule="auto"/>
              <w:jc w:val="center"/>
            </w:pPr>
            <w:r>
              <w:rPr>
                <w:b w:val="0"/>
                <w:sz w:val="18"/>
              </w:rPr>
              <w:t>2.60%</w:t>
            </w:r>
          </w:p>
        </w:tc>
      </w:tr>
      <w:tr>
        <w:trPr>
          <w:cantSplit/>
        </w:trPr>
        <w:tc>
          <w:tcPr>
            <w:tcW w:type="dxa" w:w="1701"/>
            <w:vAlign w:val="center"/>
            <w:shd w:fill="F5F7FA"/>
          </w:tcPr>
          <w:p>
            <w:pPr>
              <w:spacing w:after="0" w:line="269" w:lineRule="auto"/>
              <w:jc w:val="left"/>
            </w:pPr>
            <w:r>
              <w:rPr>
                <w:b w:val="0"/>
                <w:sz w:val="18"/>
              </w:rPr>
              <w:t>P3</w:t>
            </w:r>
          </w:p>
        </w:tc>
        <w:tc>
          <w:tcPr>
            <w:tcW w:type="dxa" w:w="4082"/>
            <w:vAlign w:val="center"/>
            <w:shd w:fill="F5F7FA"/>
          </w:tcPr>
          <w:p>
            <w:pPr>
              <w:spacing w:after="0" w:line="269" w:lineRule="auto"/>
              <w:jc w:val="center"/>
            </w:pPr>
            <w:r>
              <w:rPr>
                <w:b w:val="0"/>
                <w:sz w:val="18"/>
              </w:rPr>
              <w:t>-0.00087</w:t>
            </w:r>
          </w:p>
        </w:tc>
        <w:tc>
          <w:tcPr>
            <w:tcW w:type="dxa" w:w="3855"/>
            <w:vAlign w:val="center"/>
            <w:shd w:fill="F5F7FA"/>
          </w:tcPr>
          <w:p>
            <w:pPr>
              <w:spacing w:after="0" w:line="269" w:lineRule="auto"/>
              <w:jc w:val="center"/>
            </w:pPr>
            <w:r>
              <w:rPr>
                <w:b w:val="0"/>
                <w:sz w:val="18"/>
              </w:rPr>
              <w:t>2.62%</w:t>
            </w:r>
          </w:p>
        </w:tc>
      </w:tr>
      <w:tr>
        <w:trPr>
          <w:cantSplit/>
        </w:trPr>
        <w:tc>
          <w:tcPr>
            <w:tcW w:type="dxa" w:w="1701"/>
            <w:vAlign w:val="center"/>
            <w:shd w:fill="FFFFFF"/>
          </w:tcPr>
          <w:p>
            <w:pPr>
              <w:spacing w:after="0" w:line="269" w:lineRule="auto"/>
              <w:jc w:val="left"/>
            </w:pPr>
            <w:r>
              <w:rPr>
                <w:b w:val="0"/>
                <w:sz w:val="18"/>
              </w:rPr>
              <w:t>F8</w:t>
            </w:r>
          </w:p>
        </w:tc>
        <w:tc>
          <w:tcPr>
            <w:tcW w:type="dxa" w:w="4082"/>
            <w:vAlign w:val="center"/>
            <w:shd w:fill="FFFFFF"/>
          </w:tcPr>
          <w:p>
            <w:pPr>
              <w:spacing w:after="0" w:line="269" w:lineRule="auto"/>
              <w:jc w:val="center"/>
            </w:pPr>
            <w:r>
              <w:rPr>
                <w:b w:val="0"/>
                <w:sz w:val="18"/>
              </w:rPr>
              <w:t>-0.00181</w:t>
            </w:r>
          </w:p>
        </w:tc>
        <w:tc>
          <w:tcPr>
            <w:tcW w:type="dxa" w:w="3855"/>
            <w:vAlign w:val="center"/>
            <w:shd w:fill="FFFFFF"/>
          </w:tcPr>
          <w:p>
            <w:pPr>
              <w:spacing w:after="0" w:line="269" w:lineRule="auto"/>
              <w:jc w:val="center"/>
            </w:pPr>
            <w:r>
              <w:rPr>
                <w:b w:val="0"/>
                <w:sz w:val="18"/>
              </w:rPr>
              <w:t>1.79%</w:t>
            </w:r>
          </w:p>
        </w:tc>
      </w:tr>
      <w:tr>
        <w:trPr>
          <w:cantSplit/>
        </w:trPr>
        <w:tc>
          <w:tcPr>
            <w:tcW w:type="dxa" w:w="1701"/>
            <w:vAlign w:val="center"/>
            <w:shd w:fill="F5F7FA"/>
          </w:tcPr>
          <w:p>
            <w:pPr>
              <w:spacing w:after="0" w:line="269" w:lineRule="auto"/>
              <w:jc w:val="left"/>
            </w:pPr>
            <w:r>
              <w:rPr>
                <w:b w:val="0"/>
                <w:sz w:val="18"/>
              </w:rPr>
              <w:t>F7</w:t>
            </w:r>
          </w:p>
        </w:tc>
        <w:tc>
          <w:tcPr>
            <w:tcW w:type="dxa" w:w="4082"/>
            <w:vAlign w:val="center"/>
            <w:shd w:fill="F5F7FA"/>
          </w:tcPr>
          <w:p>
            <w:pPr>
              <w:spacing w:after="0" w:line="269" w:lineRule="auto"/>
              <w:jc w:val="center"/>
            </w:pPr>
            <w:r>
              <w:rPr>
                <w:b w:val="0"/>
                <w:sz w:val="18"/>
              </w:rPr>
              <w:t>-0.00301</w:t>
            </w:r>
          </w:p>
        </w:tc>
        <w:tc>
          <w:tcPr>
            <w:tcW w:type="dxa" w:w="3855"/>
            <w:vAlign w:val="center"/>
            <w:shd w:fill="F5F7FA"/>
          </w:tcPr>
          <w:p>
            <w:pPr>
              <w:spacing w:after="0" w:line="269" w:lineRule="auto"/>
              <w:jc w:val="center"/>
            </w:pPr>
            <w:r>
              <w:rPr>
                <w:b w:val="0"/>
                <w:sz w:val="18"/>
              </w:rPr>
              <w:t>2.70%</w:t>
            </w:r>
          </w:p>
        </w:tc>
      </w:tr>
      <w:tr>
        <w:trPr>
          <w:cantSplit/>
        </w:trPr>
        <w:tc>
          <w:tcPr>
            <w:tcW w:type="dxa" w:w="1701"/>
            <w:vAlign w:val="center"/>
            <w:shd w:fill="FFFFFF"/>
          </w:tcPr>
          <w:p>
            <w:pPr>
              <w:spacing w:after="0" w:line="269" w:lineRule="auto"/>
              <w:jc w:val="left"/>
            </w:pPr>
            <w:r>
              <w:rPr>
                <w:b w:val="0"/>
                <w:sz w:val="18"/>
              </w:rPr>
              <w:t>F4</w:t>
            </w:r>
          </w:p>
        </w:tc>
        <w:tc>
          <w:tcPr>
            <w:tcW w:type="dxa" w:w="4082"/>
            <w:vAlign w:val="center"/>
            <w:shd w:fill="FFFFFF"/>
          </w:tcPr>
          <w:p>
            <w:pPr>
              <w:spacing w:after="0" w:line="269" w:lineRule="auto"/>
              <w:jc w:val="center"/>
            </w:pPr>
            <w:r>
              <w:rPr>
                <w:b w:val="0"/>
                <w:sz w:val="18"/>
              </w:rPr>
              <w:t>-0.00338</w:t>
            </w:r>
          </w:p>
        </w:tc>
        <w:tc>
          <w:tcPr>
            <w:tcW w:type="dxa" w:w="3855"/>
            <w:vAlign w:val="center"/>
            <w:shd w:fill="FFFFFF"/>
          </w:tcPr>
          <w:p>
            <w:pPr>
              <w:spacing w:after="0" w:line="269" w:lineRule="auto"/>
              <w:jc w:val="center"/>
            </w:pPr>
            <w:r>
              <w:rPr>
                <w:b w:val="0"/>
                <w:sz w:val="18"/>
              </w:rPr>
              <w:t>2.64%</w:t>
            </w:r>
          </w:p>
        </w:tc>
      </w:tr>
      <w:tr>
        <w:trPr>
          <w:cantSplit/>
        </w:trPr>
        <w:tc>
          <w:tcPr>
            <w:tcW w:type="dxa" w:w="1701"/>
            <w:vAlign w:val="center"/>
            <w:shd w:fill="F5F7FA"/>
          </w:tcPr>
          <w:p>
            <w:pPr>
              <w:spacing w:after="0" w:line="269" w:lineRule="auto"/>
              <w:jc w:val="left"/>
            </w:pPr>
            <w:r>
              <w:rPr>
                <w:b w:val="0"/>
                <w:sz w:val="18"/>
              </w:rPr>
              <w:t>Fp1</w:t>
            </w:r>
          </w:p>
        </w:tc>
        <w:tc>
          <w:tcPr>
            <w:tcW w:type="dxa" w:w="4082"/>
            <w:vAlign w:val="center"/>
            <w:shd w:fill="F5F7FA"/>
          </w:tcPr>
          <w:p>
            <w:pPr>
              <w:spacing w:after="0" w:line="269" w:lineRule="auto"/>
              <w:jc w:val="center"/>
            </w:pPr>
            <w:r>
              <w:rPr>
                <w:b w:val="0"/>
                <w:sz w:val="18"/>
              </w:rPr>
              <w:t>-0.00461</w:t>
            </w:r>
          </w:p>
        </w:tc>
        <w:tc>
          <w:tcPr>
            <w:tcW w:type="dxa" w:w="3855"/>
            <w:vAlign w:val="center"/>
            <w:shd w:fill="F5F7FA"/>
          </w:tcPr>
          <w:p>
            <w:pPr>
              <w:spacing w:after="0" w:line="269" w:lineRule="auto"/>
              <w:jc w:val="center"/>
            </w:pPr>
            <w:r>
              <w:rPr>
                <w:b w:val="0"/>
                <w:sz w:val="18"/>
              </w:rPr>
              <w:t>2.51%</w:t>
            </w:r>
          </w:p>
        </w:tc>
      </w:tr>
    </w:tbl>
    <w:p>
      <w:pPr>
        <w:spacing w:before="120"/>
      </w:pPr>
      <w:r>
        <w:t>汇总通道排名的 Spearman 相关系数为 0.821。这里只报告描述性一致性，不将 16 个通道或重叠训练折当作独立重复来计算显著性。</w:t>
      </w:r>
    </w:p>
    <w:p>
      <w:pPr>
        <w:pStyle w:val="Heading2"/>
      </w:pPr>
      <w:r>
        <w:t>计算与导出验证</w:t>
      </w:r>
    </w:p>
    <w:p>
      <w:r>
        <w:t>完成五折共 80 次通道消融。五折基线概率与原 CSV 最大误差均为 0，窗口及 trial 准确率完全复现。参数、BatchNorm 状态和 checkpoint 哈希保持不变。全部保存的 trial 输出又经 sklearn 独立复算 ΔR²，kernel 能量归一化也独立核验。</w:t>
      </w:r>
    </w:p>
    <w:p>
      <w:r>
        <w:t>最终 15 项测试通过，覆盖分折协议、入口、R² 一致性、恒定目标报错、有效和无关及有害通道、概率平均与原始输出平均的区别、重复窗口、基线篡改检测、加权标准差以及合成 kernel 与实际线性层一致性。</w:t>
      </w:r>
    </w:p>
    <w:p>
      <w:r>
        <w:t>生成 19 张科学图，每张均有 PNG 和 PDF，共 38 个图文件；同时保存通道 CSV、trial 输出、NPZ、公式、软件版本和输入 SHA256。</w:t>
      </w:r>
    </w:p>
    <w:p>
      <w:pPr>
        <w:pStyle w:val="Heading1"/>
        <w:pageBreakBefore/>
      </w:pPr>
      <w:r>
        <w:t>消融 topomap 图示</w:t>
      </w:r>
    </w:p>
    <w:p>
      <w:pPr>
        <w:keepNext/>
        <w:jc w:val="center"/>
      </w:pPr>
      <w:r>
        <w:drawing>
          <wp:inline xmlns:a="http://schemas.openxmlformats.org/drawingml/2006/main" xmlns:pic="http://schemas.openxmlformats.org/drawingml/2006/picture">
            <wp:extent cx="5897880" cy="3794738"/>
            <wp:docPr id="1" name="Picture 1" descr="图 1  五折与加权平均的总体 trial 消融 ΔR² 图。所有面板共用色标，红色表示消融使拟合下降。"/>
            <wp:cNvGraphicFramePr>
              <a:graphicFrameLocks noChangeAspect="1"/>
            </wp:cNvGraphicFramePr>
            <a:graphic>
              <a:graphicData uri="http://schemas.openxmlformats.org/drawingml/2006/picture">
                <pic:pic>
                  <pic:nvPicPr>
                    <pic:cNvPr id="0" name="ablation_trial_overall.png"/>
                    <pic:cNvPicPr/>
                  </pic:nvPicPr>
                  <pic:blipFill>
                    <a:blip r:embed="rId10"/>
                    <a:stretch>
                      <a:fillRect/>
                    </a:stretch>
                  </pic:blipFill>
                  <pic:spPr>
                    <a:xfrm>
                      <a:off x="0" y="0"/>
                      <a:ext cx="5897880" cy="3794738"/>
                    </a:xfrm>
                    <a:prstGeom prst="rect"/>
                  </pic:spPr>
                </pic:pic>
              </a:graphicData>
            </a:graphic>
          </wp:inline>
        </w:drawing>
      </w:r>
    </w:p>
    <w:p>
      <w:pPr>
        <w:pStyle w:val="Caption"/>
      </w:pPr>
      <w:r>
        <w:t>图 1  五折与加权平均的总体 trial 消融 ΔR² 图。所有面板共用色标，红色表示消融使拟合下降。</w:t>
      </w:r>
    </w:p>
    <w:p>
      <w:pPr>
        <w:pStyle w:val="Heading2"/>
      </w:pPr>
      <w:r>
        <w:t>如何阅读</w:t>
      </w:r>
    </w:p>
    <w:p>
      <w:r>
        <w:t>每个电极位置表示将该模型输入通道置零后的影响，面板内不做单独的最大值归一化。C3、C4 在五折中均表现出较强正向影响；接近白色的区域表示本次单通道置零对总体拟合影响较小。</w:t>
      </w:r>
    </w:p>
    <w:p>
      <w:r>
        <w:t>少数通道汇总 ΔR² 为负，不进行截断或取绝对值。负值是该扰动下的结果，不代表该电极在所有任务、所有模型或重新训练后的系统中都没有价值。</w:t>
      </w:r>
    </w:p>
    <w:p>
      <w:r>
        <w:t>图采用 standard_1020 模板坐标与线性插值，保留电极名称。显示轮廓统一使用 0.11 m 球半径以容纳额部电极，不代表实测头围。插值区域不是额外测量点。</w:t>
      </w:r>
    </w:p>
    <w:p>
      <w:r>
        <w:t>分类别图、window 级图和标准差图见 outputs/visualize/topomap 下的 ablation_trial_*、ablation_window_* 文件。原始高分辨率 PNG/PDF 可放大查看每个通道。</w:t>
      </w:r>
    </w:p>
    <w:p>
      <w:pPr>
        <w:pStyle w:val="Heading2"/>
      </w:pPr>
      <w:r>
        <w:t>不能直接推导的结论</w:t>
      </w:r>
    </w:p>
    <w:p>
      <w:r>
        <w:t>消融作用于 CSD 和 RMS 归一化后的输入通道，并不等同于采集时移除一个原始电极，再重新计算平均参考、ICA 或 CSD。相关通道之间的补偿也会影响单通道消融结果。</w:t>
      </w:r>
    </w:p>
    <w:p>
      <w:pPr>
        <w:pStyle w:val="Heading1"/>
        <w:pageBreakBefore/>
      </w:pPr>
      <w:r>
        <w:t>Kernel topomap 图示</w:t>
      </w:r>
    </w:p>
    <w:p>
      <w:pPr>
        <w:keepNext/>
        <w:jc w:val="center"/>
      </w:pPr>
      <w:r>
        <w:drawing>
          <wp:inline xmlns:a="http://schemas.openxmlformats.org/drawingml/2006/main" xmlns:pic="http://schemas.openxmlformats.org/drawingml/2006/picture">
            <wp:extent cx="5897880" cy="3848446"/>
            <wp:docPr id="2" name="Picture 2" descr="图 2  第一层时空 kernel 的通道系数能量占比。五折先分别归一化，再等权平均。"/>
            <wp:cNvGraphicFramePr>
              <a:graphicFrameLocks noChangeAspect="1"/>
            </wp:cNvGraphicFramePr>
            <a:graphic>
              <a:graphicData uri="http://schemas.openxmlformats.org/drawingml/2006/picture">
                <pic:pic>
                  <pic:nvPicPr>
                    <pic:cNvPr id="0" name="kernel_energy.png"/>
                    <pic:cNvPicPr/>
                  </pic:nvPicPr>
                  <pic:blipFill>
                    <a:blip r:embed="rId11"/>
                    <a:stretch>
                      <a:fillRect/>
                    </a:stretch>
                  </pic:blipFill>
                  <pic:spPr>
                    <a:xfrm>
                      <a:off x="0" y="0"/>
                      <a:ext cx="5897880" cy="3848446"/>
                    </a:xfrm>
                    <a:prstGeom prst="rect"/>
                  </pic:spPr>
                </pic:pic>
              </a:graphicData>
            </a:graphic>
          </wp:inline>
        </w:drawing>
      </w:r>
    </w:p>
    <w:p>
      <w:pPr>
        <w:pStyle w:val="Caption"/>
      </w:pPr>
      <w:r>
        <w:t>图 2  第一层时空 kernel 的通道系数能量占比。五折先分别归一化，再等权平均。</w:t>
      </w:r>
    </w:p>
    <w:p>
      <w:pPr>
        <w:pStyle w:val="Heading2"/>
      </w:pPr>
      <w:r>
        <w:t>如何阅读</w:t>
      </w:r>
    </w:p>
    <w:p>
      <w:r>
        <w:t>C3 和 C4 的平均能量占比分别为 26.77% 和 20.02%，合计约 46.79%。这是第一层系数能量的相对分布，不是准确率贡献百分比，也不是实际 EEG 信号能量比例。</w:t>
      </w:r>
    </w:p>
    <w:p>
      <w:r>
        <w:t>系数能量的折间标准差：C3 为 3.43 个百分点，C4 为 2.62 个百分点。对应 trial ΔR² 的加权标准差分别为 0.02911 和 0.00679。两种标准差的单位不同，不能直接比较大小。</w:t>
      </w:r>
    </w:p>
    <w:p>
      <w:r>
        <w:t>逐滤波器图位于 kernel_filters_fold_0 至 kernel_filters_fold_4，每折包含 16 个空间 kernel。图中正负系数均保留；总体能量则平方后求和，避免正负抵消。</w:t>
      </w:r>
    </w:p>
    <w:p>
      <w:pPr>
        <w:pStyle w:val="Heading2"/>
      </w:pPr>
      <w:r>
        <w:t>解释边界</w:t>
      </w:r>
    </w:p>
    <w:p>
      <w:r>
        <w:t>这些图支持当前模型在输入通道上的系数分布与消融拟合影响具有一定一致性。它们仍不能证明生理机制或源定位，也不能代替独立数据、跨 session 评估和重新训练后的电极选择实验。</w:t>
      </w:r>
    </w:p>
    <w:p>
      <w:pPr>
        <w:pStyle w:val="Heading2"/>
      </w:pPr>
      <w:r>
        <w:t>后续实验的边界</w:t>
      </w:r>
    </w:p>
    <w:p>
      <w:r>
        <w:t>独立留出测试、按 session 留出、ICA 等预处理严格折内拟合、原始电极删减与重新训练、额外 EEGNet 基线及生理解释，均需要明确的新实验设计，不属于本次已经完成的结论。</w:t>
      </w:r>
    </w:p>
    <w:p>
      <w:pPr>
        <w:pStyle w:val="Heading1"/>
        <w:pageBreakBefore/>
      </w:pPr>
      <w:r>
        <w:t>复现方式与项目交接</w:t>
      </w:r>
    </w:p>
    <w:p>
      <w:pPr>
        <w:pStyle w:val="Heading2"/>
      </w:pPr>
      <w:r>
        <w:t>环境与运行</w:t>
      </w:r>
    </w:p>
    <w:p>
      <w:r>
        <w:t>正式实验使用用户创建的 raspy conda 环境：Python 3.10.20、PyTorch 2.14.0 CPU、NumPy 2.0.2、SciPy 1.13.1、MNE 1.8.0、h5py 3.16.0。前期也使用 research-general 做过兼容核验。本次没有替用户创建环境，也没有为通道分析新增依赖。</w:t>
      </w:r>
    </w:p>
    <w:p>
      <w:r>
        <w:t>requirements.txt 提供两个来源代码共同需要的依赖。以下命令从 inhouse_bci_raspy 目录执行。已有正式 checkpoint 时训练入口会拒绝覆盖，应先归档已有实验。</w:t>
      </w:r>
    </w:p>
    <w:p>
      <w:pPr>
        <w:spacing w:after="40"/>
      </w:pPr>
      <w:r>
        <w:rPr>
          <w:rFonts w:ascii="Consolas" w:hAnsi="Consolas"/>
          <w:sz w:val="17"/>
        </w:rPr>
        <w:t>conda activate raspy</w:t>
      </w:r>
    </w:p>
    <w:p>
      <w:pPr>
        <w:spacing w:after="40"/>
      </w:pPr>
      <w:r>
        <w:rPr>
          <w:rFonts w:ascii="Consolas" w:hAnsi="Consolas"/>
          <w:sz w:val="17"/>
        </w:rPr>
        <w:t>python -u run.py all</w:t>
      </w:r>
    </w:p>
    <w:p>
      <w:pPr>
        <w:spacing w:after="40"/>
      </w:pPr>
      <w:r>
        <w:rPr>
          <w:rFonts w:ascii="Consolas" w:hAnsi="Consolas"/>
          <w:sz w:val="17"/>
        </w:rPr>
        <w:t>$env:PYTHONPATH = (Join-Path (Get-Location) 'src')</w:t>
      </w:r>
    </w:p>
    <w:p>
      <w:pPr>
        <w:spacing w:after="40"/>
      </w:pPr>
      <w:r>
        <w:rPr>
          <w:rFonts w:ascii="Consolas" w:hAnsi="Consolas"/>
          <w:sz w:val="17"/>
        </w:rPr>
        <w:t>python -m inhouse_bci_raspy.analysis.aggregation</w:t>
      </w:r>
    </w:p>
    <w:p>
      <w:pPr>
        <w:spacing w:after="40"/>
      </w:pPr>
      <w:r>
        <w:rPr>
          <w:rFonts w:ascii="Consolas" w:hAnsi="Consolas"/>
          <w:sz w:val="17"/>
        </w:rPr>
        <w:t>python -u -m inhouse_bci_raspy.visualize.topomap --method both</w:t>
      </w:r>
    </w:p>
    <w:p>
      <w:pPr>
        <w:spacing w:after="40"/>
      </w:pPr>
      <w:r>
        <w:rPr>
          <w:rFonts w:ascii="Consolas" w:hAnsi="Consolas"/>
          <w:sz w:val="17"/>
        </w:rPr>
        <w:t>python -m inhouse_bci_raspy.visualize.topomap --plot-only</w:t>
      </w:r>
    </w:p>
    <w:p>
      <w:pPr>
        <w:spacing w:after="40"/>
      </w:pPr>
      <w:r>
        <w:rPr>
          <w:rFonts w:ascii="Consolas" w:hAnsi="Consolas"/>
          <w:sz w:val="17"/>
        </w:rPr>
        <w:t>python -m unittest discover -s tests -v</w:t>
      </w:r>
    </w:p>
    <w:p>
      <w:r>
        <w:t>Topomap 已有结果时，重新计算需显式 --overwrite；仅重新绘图使用 --plot-only。实时查看终端输出和 status.json。训练过程可用 TensorBoard：</w:t>
      </w:r>
    </w:p>
    <w:p>
      <w:pPr>
        <w:spacing w:after="40"/>
      </w:pPr>
      <w:r>
        <w:rPr>
          <w:rFonts w:ascii="Consolas" w:hAnsi="Consolas"/>
          <w:sz w:val="17"/>
        </w:rPr>
        <w:t>tensorboard --logdir outputs/cv --host 127.0.0.1 --port 6006</w:t>
      </w:r>
    </w:p>
    <w:p>
      <w:r>
        <w:t>本次曾排查网页不可访问的问题并启动、验证本机 TensorBoard 服务。再次访问前仍需确认服务正在运行；历史启动状态不保证之后一直有效。</w:t>
      </w:r>
    </w:p>
    <w:p>
      <w:pPr>
        <w:pStyle w:val="Heading2"/>
      </w:pPr>
      <w:r>
        <w:t>结果索引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4649"/>
        <w:gridCol w:w="4989"/>
      </w:tblGrid>
      <w:tr>
        <w:trPr>
          <w:tblHeader/>
          <w:cantSplit/>
        </w:trPr>
        <w:tc>
          <w:tcPr>
            <w:tcW w:type="dxa" w:w="4649"/>
            <w:vAlign w:val="center"/>
            <w:shd w:fill="DCE6F1"/>
          </w:tcPr>
          <w:p>
            <w:pPr>
              <w:spacing w:after="0" w:line="269" w:lineRule="auto"/>
              <w:jc w:val="left"/>
            </w:pPr>
            <w:r>
              <w:rPr>
                <w:b/>
                <w:sz w:val="18"/>
              </w:rPr>
              <w:t>相对路径</w:t>
            </w:r>
          </w:p>
        </w:tc>
        <w:tc>
          <w:tcPr>
            <w:tcW w:type="dxa" w:w="4989"/>
            <w:vAlign w:val="center"/>
            <w:shd w:fill="DCE6F1"/>
          </w:tcPr>
          <w:p>
            <w:pPr>
              <w:spacing w:after="0" w:line="269" w:lineRule="auto"/>
              <w:jc w:val="center"/>
            </w:pPr>
            <w:r>
              <w:rPr>
                <w:b/>
                <w:sz w:val="18"/>
              </w:rPr>
              <w:t>内容</w:t>
            </w:r>
          </w:p>
        </w:tc>
      </w:tr>
      <w:tr>
        <w:trPr>
          <w:cantSplit/>
        </w:trPr>
        <w:tc>
          <w:tcPr>
            <w:tcW w:type="dxa" w:w="4649"/>
            <w:vAlign w:val="center"/>
            <w:shd w:fill="FFFFFF"/>
          </w:tcPr>
          <w:p>
            <w:pPr>
              <w:spacing w:after="0" w:line="269" w:lineRule="auto"/>
              <w:jc w:val="left"/>
            </w:pPr>
            <w:r>
              <w:rPr>
                <w:b w:val="0"/>
                <w:sz w:val="18"/>
              </w:rPr>
              <w:t>outputs/prepared</w:t>
            </w:r>
          </w:p>
        </w:tc>
        <w:tc>
          <w:tcPr>
            <w:tcW w:type="dxa" w:w="4989"/>
            <w:vAlign w:val="center"/>
            <w:shd w:fill="FFFFFF"/>
          </w:tcPr>
          <w:p>
            <w:pPr>
              <w:spacing w:after="0" w:line="269" w:lineRule="auto"/>
              <w:jc w:val="center"/>
            </w:pPr>
            <w:r>
              <w:rPr>
                <w:b w:val="0"/>
                <w:sz w:val="18"/>
              </w:rPr>
              <w:t>clean_trials.h5 和 folds.json</w:t>
            </w:r>
          </w:p>
        </w:tc>
      </w:tr>
      <w:tr>
        <w:trPr>
          <w:cantSplit/>
        </w:trPr>
        <w:tc>
          <w:tcPr>
            <w:tcW w:type="dxa" w:w="4649"/>
            <w:vAlign w:val="center"/>
            <w:shd w:fill="F5F7FA"/>
          </w:tcPr>
          <w:p>
            <w:pPr>
              <w:spacing w:after="0" w:line="269" w:lineRule="auto"/>
              <w:jc w:val="left"/>
            </w:pPr>
            <w:r>
              <w:rPr>
                <w:b w:val="0"/>
                <w:sz w:val="18"/>
              </w:rPr>
              <w:t>outputs/cv/fold_0 至 fold_4</w:t>
            </w:r>
          </w:p>
        </w:tc>
        <w:tc>
          <w:tcPr>
            <w:tcW w:type="dxa" w:w="4989"/>
            <w:vAlign w:val="center"/>
            <w:shd w:fill="F5F7FA"/>
          </w:tcPr>
          <w:p>
            <w:pPr>
              <w:spacing w:after="0" w:line="269" w:lineRule="auto"/>
              <w:jc w:val="center"/>
            </w:pPr>
            <w:r>
              <w:rPr>
                <w:b w:val="0"/>
                <w:sz w:val="18"/>
              </w:rPr>
              <w:t>权重 归一化尺度 切分 指标 预测 曲线</w:t>
            </w:r>
          </w:p>
        </w:tc>
      </w:tr>
      <w:tr>
        <w:trPr>
          <w:cantSplit/>
        </w:trPr>
        <w:tc>
          <w:tcPr>
            <w:tcW w:type="dxa" w:w="4649"/>
            <w:vAlign w:val="center"/>
            <w:shd w:fill="FFFFFF"/>
          </w:tcPr>
          <w:p>
            <w:pPr>
              <w:spacing w:after="0" w:line="269" w:lineRule="auto"/>
              <w:jc w:val="left"/>
            </w:pPr>
            <w:r>
              <w:rPr>
                <w:b w:val="0"/>
                <w:sz w:val="18"/>
              </w:rPr>
              <w:t>outputs/cv/summary.json</w:t>
            </w:r>
          </w:p>
        </w:tc>
        <w:tc>
          <w:tcPr>
            <w:tcW w:type="dxa" w:w="4989"/>
            <w:vAlign w:val="center"/>
            <w:shd w:fill="FFFFFF"/>
          </w:tcPr>
          <w:p>
            <w:pPr>
              <w:spacing w:after="0" w:line="269" w:lineRule="auto"/>
              <w:jc w:val="center"/>
            </w:pPr>
            <w:r>
              <w:rPr>
                <w:b w:val="0"/>
                <w:sz w:val="18"/>
              </w:rPr>
              <w:t>正式五折窗口汇总与混淆矩阵</w:t>
            </w:r>
          </w:p>
        </w:tc>
      </w:tr>
      <w:tr>
        <w:trPr>
          <w:cantSplit/>
        </w:trPr>
        <w:tc>
          <w:tcPr>
            <w:tcW w:type="dxa" w:w="4649"/>
            <w:vAlign w:val="center"/>
            <w:shd w:fill="F5F7FA"/>
          </w:tcPr>
          <w:p>
            <w:pPr>
              <w:spacing w:after="0" w:line="269" w:lineRule="auto"/>
              <w:jc w:val="left"/>
            </w:pPr>
            <w:r>
              <w:rPr>
                <w:b w:val="0"/>
                <w:sz w:val="18"/>
              </w:rPr>
              <w:t>outputs/analysis/aggregation</w:t>
            </w:r>
          </w:p>
        </w:tc>
        <w:tc>
          <w:tcPr>
            <w:tcW w:type="dxa" w:w="4989"/>
            <w:vAlign w:val="center"/>
            <w:shd w:fill="F5F7FA"/>
          </w:tcPr>
          <w:p>
            <w:pPr>
              <w:spacing w:after="0" w:line="269" w:lineRule="auto"/>
              <w:jc w:val="center"/>
            </w:pPr>
            <w:r>
              <w:rPr>
                <w:b w:val="0"/>
                <w:sz w:val="18"/>
              </w:rPr>
              <w:t>聚合差异报告和逐 trial 诊断</w:t>
            </w:r>
          </w:p>
        </w:tc>
      </w:tr>
      <w:tr>
        <w:trPr>
          <w:cantSplit/>
        </w:trPr>
        <w:tc>
          <w:tcPr>
            <w:tcW w:type="dxa" w:w="4649"/>
            <w:vAlign w:val="center"/>
            <w:shd w:fill="FFFFFF"/>
          </w:tcPr>
          <w:p>
            <w:pPr>
              <w:spacing w:after="0" w:line="269" w:lineRule="auto"/>
              <w:jc w:val="left"/>
            </w:pPr>
            <w:r>
              <w:rPr>
                <w:b w:val="0"/>
                <w:sz w:val="18"/>
              </w:rPr>
              <w:t>outputs/visualize/topomap</w:t>
            </w:r>
          </w:p>
        </w:tc>
        <w:tc>
          <w:tcPr>
            <w:tcW w:type="dxa" w:w="4989"/>
            <w:vAlign w:val="center"/>
            <w:shd w:fill="FFFFFF"/>
          </w:tcPr>
          <w:p>
            <w:pPr>
              <w:spacing w:after="0" w:line="269" w:lineRule="auto"/>
              <w:jc w:val="center"/>
            </w:pPr>
            <w:r>
              <w:rPr>
                <w:b w:val="0"/>
                <w:sz w:val="18"/>
              </w:rPr>
              <w:t>两种 topomap 图 数值 报告与核验</w:t>
            </w:r>
          </w:p>
        </w:tc>
      </w:tr>
      <w:tr>
        <w:trPr>
          <w:cantSplit/>
        </w:trPr>
        <w:tc>
          <w:tcPr>
            <w:tcW w:type="dxa" w:w="4649"/>
            <w:vAlign w:val="center"/>
            <w:shd w:fill="F5F7FA"/>
          </w:tcPr>
          <w:p>
            <w:pPr>
              <w:spacing w:after="0" w:line="269" w:lineRule="auto"/>
              <w:jc w:val="left"/>
            </w:pPr>
            <w:r>
              <w:rPr>
                <w:b w:val="0"/>
                <w:sz w:val="18"/>
              </w:rPr>
              <w:t>README.md 与 VALIDATION.md</w:t>
            </w:r>
          </w:p>
        </w:tc>
        <w:tc>
          <w:tcPr>
            <w:tcW w:type="dxa" w:w="4989"/>
            <w:vAlign w:val="center"/>
            <w:shd w:fill="F5F7FA"/>
          </w:tcPr>
          <w:p>
            <w:pPr>
              <w:spacing w:after="0" w:line="269" w:lineRule="auto"/>
              <w:jc w:val="center"/>
            </w:pPr>
            <w:r>
              <w:rPr>
                <w:b w:val="0"/>
                <w:sz w:val="18"/>
              </w:rPr>
              <w:t>入口与验证记录</w:t>
            </w:r>
          </w:p>
        </w:tc>
      </w:tr>
      <w:tr>
        <w:trPr>
          <w:cantSplit/>
        </w:trPr>
        <w:tc>
          <w:tcPr>
            <w:tcW w:type="dxa" w:w="4649"/>
            <w:vAlign w:val="center"/>
            <w:shd w:fill="FFFFFF"/>
          </w:tcPr>
          <w:p>
            <w:pPr>
              <w:spacing w:after="0" w:line="269" w:lineRule="auto"/>
              <w:jc w:val="left"/>
            </w:pPr>
            <w:r>
              <w:rPr>
                <w:b w:val="0"/>
                <w:sz w:val="18"/>
              </w:rPr>
              <w:t>PROVENANCE.json</w:t>
            </w:r>
          </w:p>
        </w:tc>
        <w:tc>
          <w:tcPr>
            <w:tcW w:type="dxa" w:w="4989"/>
            <w:vAlign w:val="center"/>
            <w:shd w:fill="FFFFFF"/>
          </w:tcPr>
          <w:p>
            <w:pPr>
              <w:spacing w:after="0" w:line="269" w:lineRule="auto"/>
              <w:jc w:val="center"/>
            </w:pPr>
            <w:r>
              <w:rPr>
                <w:b w:val="0"/>
                <w:sz w:val="18"/>
              </w:rPr>
              <w:t>来源映射及哈希</w:t>
            </w:r>
          </w:p>
        </w:tc>
      </w:tr>
    </w:tbl>
    <w:p>
      <w:pPr>
        <w:pStyle w:val="Heading2"/>
      </w:pPr>
      <w:r>
        <w:t>方法参考</w:t>
      </w:r>
    </w:p>
    <w:p>
      <w:pPr>
        <w:spacing w:after="60"/>
      </w:pPr>
      <w:r>
        <w:rPr>
          <w:sz w:val="18"/>
        </w:rPr>
        <w:t>EEGNet 原论文  arxiv.org/abs/1611.08024</w:t>
      </w:r>
    </w:p>
    <w:p>
      <w:pPr>
        <w:spacing w:after="60"/>
      </w:pPr>
      <w:r>
        <w:rPr>
          <w:sz w:val="18"/>
        </w:rPr>
        <w:t>R² 定义  scikit-learn.org/1.6/modules/generated/sklearn.metrics.r2_score.html</w:t>
      </w:r>
    </w:p>
    <w:p>
      <w:pPr>
        <w:spacing w:after="60"/>
      </w:pPr>
      <w:r>
        <w:rPr>
          <w:sz w:val="18"/>
        </w:rPr>
        <w:t>Haufe 等关于权重解释的研究  pubmed.ncbi.nlm.nih.gov/24239590</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160"/>
    </w:pPr>
    <w:rPr>
      <w:rFonts w:asciiTheme="majorHAnsi" w:eastAsiaTheme="majorEastAsia" w:hAnsiTheme="majorHAnsi" w:cstheme="majorBidi" w:ascii="Calibri" w:hAnsi="Calibri" w:eastAsia="Microsoft YaHe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160"/>
    </w:pPr>
    <w:rPr>
      <w:rFonts w:ascii="Calibri" w:hAnsi="Calibr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运动想象脑机接口项目工作总结</dc:title>
  <dc:subject>数据适配 五折实验 聚合分析 通道可视化</dc:subject>
  <dc:creator>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