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行人计数系统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系统方案</w:t>
      </w:r>
    </w:p>
    <w:tbl>
      <w:tblPr>
        <w:tblStyle w:val="16"/>
        <w:tblW w:w="8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374"/>
        <w:gridCol w:w="1138"/>
        <w:gridCol w:w="3920"/>
        <w:gridCol w:w="658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616" w:type="dxa"/>
            <w:gridSpan w:val="5"/>
            <w:tcBorders>
              <w:top w:val="single" w:color="auto" w:sz="12" w:space="0"/>
              <w:left w:val="single" w:color="auto" w:sz="12" w:space="0"/>
              <w:right w:val="nil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硬件部分：利用安装在高处与地面成一定夹角的摄像机，拍摄视频图像序列。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16" w:type="dxa"/>
            <w:gridSpan w:val="5"/>
            <w:tcBorders>
              <w:left w:val="single" w:color="auto" w:sz="12" w:space="0"/>
              <w:bottom w:val="single" w:color="auto" w:sz="12" w:space="0"/>
              <w:right w:val="nil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软件部分：利用计算机程序自动提取视频图像中的行人目标，当目标通过指定图像区域后进行计数，并同时记录时间等其他有用信息。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竞品</w:t>
            </w:r>
          </w:p>
        </w:tc>
        <w:tc>
          <w:tcPr>
            <w:tcW w:w="37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海康威视</w:t>
            </w:r>
          </w:p>
        </w:tc>
        <w:tc>
          <w:tcPr>
            <w:tcW w:w="113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型号</w:t>
            </w:r>
          </w:p>
        </w:tc>
        <w:tc>
          <w:tcPr>
            <w:tcW w:w="457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网址</w:t>
            </w:r>
          </w:p>
        </w:tc>
        <w:tc>
          <w:tcPr>
            <w:tcW w:w="152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9" w:type="dxa"/>
            <w:vMerge w:val="continue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iDS-2CD6124FWD</w:t>
            </w:r>
          </w:p>
        </w:tc>
        <w:tc>
          <w:tcPr>
            <w:tcW w:w="457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instrText xml:space="preserve"> HYPERLINK "http://www.bjharc.com/service/report/detail786-13.html" </w:instrTex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sz w:val="18"/>
                <w:szCs w:val="18"/>
                <w:vertAlign w:val="baseline"/>
                <w:lang w:val="en-US" w:eastAsia="zh-CN"/>
              </w:rPr>
              <w:t>http://www.bjharc.com/service/report/detail786-13.html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单目鱼眼摄像机</w:t>
            </w:r>
          </w:p>
        </w:tc>
        <w:tc>
          <w:tcPr>
            <w:tcW w:w="1526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采用吸顶式相机，大倾角俯拍，与传统的监控相机设计不同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37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138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iDS-2CD6810</w:t>
            </w:r>
          </w:p>
        </w:tc>
        <w:tc>
          <w:tcPr>
            <w:tcW w:w="4578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instrText xml:space="preserve"> HYPERLINK "http://security.asmag.com.cn/test/201704/70409.html" </w:instrTex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14"/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http://security.asmag.com.cn/test/201704/70409.html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双目摄像机</w:t>
            </w:r>
          </w:p>
        </w:tc>
        <w:tc>
          <w:tcPr>
            <w:tcW w:w="1526" w:type="dxa"/>
            <w:vMerge w:val="continue"/>
            <w:tcBorders>
              <w:left w:val="single" w:color="auto" w:sz="4" w:space="0"/>
              <w:bottom w:val="single" w:color="auto" w:sz="12" w:space="0"/>
              <w:right w:val="nil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技术指标</w:t>
            </w:r>
          </w:p>
        </w:tc>
        <w:tc>
          <w:tcPr>
            <w:tcW w:w="1512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104" w:type="dxa"/>
            <w:gridSpan w:val="3"/>
            <w:tcBorders>
              <w:top w:val="single" w:color="auto" w:sz="12" w:space="0"/>
              <w:left w:val="single" w:color="auto" w:sz="4" w:space="0"/>
              <w:right w:val="nil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 利用配套的图像处理模组在线处理，不用回传到服务器端处理；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 实时检测和计数；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3. 视频存储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精度指标</w:t>
            </w:r>
          </w:p>
        </w:tc>
        <w:tc>
          <w:tcPr>
            <w:tcW w:w="6104" w:type="dxa"/>
            <w:gridSpan w:val="3"/>
            <w:tcBorders>
              <w:left w:val="single" w:color="auto" w:sz="4" w:space="0"/>
              <w:bottom w:val="single" w:color="auto" w:sz="12" w:space="0"/>
              <w:right w:val="nil"/>
            </w:tcBorders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误检率：a. 将其他物体检测为行人；b. 将一个行人检测为多个。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漏检率：a. 漏检一个行人；b. 将多个行人检测为一个。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软件方案</w:t>
            </w:r>
          </w:p>
        </w:tc>
        <w:tc>
          <w:tcPr>
            <w:tcW w:w="151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技术路线</w:t>
            </w:r>
          </w:p>
        </w:tc>
        <w:tc>
          <w:tcPr>
            <w:tcW w:w="218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性能指标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continue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gridSpan w:val="2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原型系统</w:t>
            </w:r>
          </w:p>
        </w:tc>
        <w:tc>
          <w:tcPr>
            <w:tcW w:w="39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混合高斯模型对图像背景区域建模；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背景差分进行运动图斑检测；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利用数学形态学方法或其他聚类方法将图斑聚类为潜在的目标对象；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利用行人大小、高度，摄像机倾角、焦距等先验信息，对提取的目标对象进行过滤，去掉非行人目标；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提取目标中心坐标，采用kalman滤波进行状态建模和跟踪；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目标通过指定图像区域后，启动计数。</w:t>
            </w:r>
          </w:p>
        </w:tc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处理速度 &gt; 20帧/s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计数精度：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普通场景 &gt; 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9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升级系统</w:t>
            </w:r>
          </w:p>
        </w:tc>
        <w:tc>
          <w:tcPr>
            <w:tcW w:w="392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原型系统的3-4步骤中增加特征提取和目标分类模块，提高行人检测的精度，区分人群中的不同个体；如HOG+SVM (注意大倾角相机无法用HOG)。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原型系统中的5步骤，改进状态建模和跟踪方法；如粒子滤波，PHD滤波。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其他传感器信息的融合：如人体感应器。异构数据的融合方法。如何从计数阶段反向优化目标检测。</w:t>
            </w:r>
          </w:p>
        </w:tc>
        <w:tc>
          <w:tcPr>
            <w:tcW w:w="2184" w:type="dxa"/>
            <w:gridSpan w:val="2"/>
            <w:tcBorders>
              <w:left w:val="single" w:color="auto" w:sz="4" w:space="0"/>
              <w:bottom w:val="single" w:color="auto" w:sz="12" w:space="0"/>
              <w:right w:val="nil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处理速度 &gt; 10帧/s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计数精度：</w:t>
            </w:r>
          </w:p>
          <w:p>
            <w:pPr>
              <w:ind w:firstLine="36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普通场景 &gt; 90%</w:t>
            </w:r>
          </w:p>
          <w:p>
            <w:pPr>
              <w:ind w:firstLine="36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复杂场景 &gt; 80%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系统开发计划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基于现有工作，原型系统研发预计需要3-4周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主要工作内容：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市场现有产品的测试与分析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关键算法移植和改造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各处理步骤的细节优化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硬件集成与工程化测试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升级系统研发时间初步估计1-3月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主要技术难点：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高效可靠的行人特征提取和分类，需要考虑硬件加速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状态空间优化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异构数据融合 (方法未知，无法预计)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相关专利</w:t>
      </w:r>
    </w:p>
    <w:tbl>
      <w:tblPr>
        <w:tblStyle w:val="16"/>
        <w:tblW w:w="8805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866"/>
        <w:gridCol w:w="56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专利号</w:t>
            </w:r>
          </w:p>
        </w:tc>
        <w:tc>
          <w:tcPr>
            <w:tcW w:w="1866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68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12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sz w:val="15"/>
                <w:szCs w:val="15"/>
              </w:rPr>
              <w:t>CN 103646257 B</w:t>
            </w:r>
          </w:p>
        </w:tc>
        <w:tc>
          <w:tcPr>
            <w:tcW w:w="1866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sz w:val="15"/>
                <w:szCs w:val="15"/>
              </w:rPr>
              <w:t>一种基于视频监控图像的行人检测和计数方法</w:t>
            </w:r>
          </w:p>
        </w:tc>
        <w:tc>
          <w:tcPr>
            <w:tcW w:w="5687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离线训练的AdaBoost分类器，多行人检测分类器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人群密度估计模块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CN 103971103 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一种人数统计系统</w:t>
            </w:r>
          </w:p>
        </w:tc>
        <w:tc>
          <w:tcPr>
            <w:tcW w:w="5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采用Kinect深度传感器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采用人脸检测模块来检测人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CN 103021059 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一种基于视频监控的公交客流计数方法</w:t>
            </w:r>
          </w:p>
        </w:tc>
        <w:tc>
          <w:tcPr>
            <w:tcW w:w="5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吸顶式车门摄像头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基于头肩部特征的人体检测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CN 102385803 B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基于视频监控的全天候市区车辆跟踪与计数方法</w:t>
            </w:r>
          </w:p>
        </w:tc>
        <w:tc>
          <w:tcPr>
            <w:tcW w:w="5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白天采用背景去除提取目标，根据拥堵情况采用跟踪方法或虚拟检测线计数法；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夜间采用二值化车灯提取，虚拟检测线计数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CN 103559478 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俯视行人视频监控中的客流计数与事件分析方法</w:t>
            </w:r>
          </w:p>
        </w:tc>
        <w:tc>
          <w:tcPr>
            <w:tcW w:w="5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头部特征由矩形特征、颜色稳定特征、梯度变化、梯形特征、圆弧特征等级联组合；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跟踪采用CamShift；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事件分析：</w:t>
            </w:r>
          </w:p>
          <w:p>
            <w:pPr>
              <w:numPr>
                <w:ilvl w:val="0"/>
                <w:numId w:val="0"/>
              </w:numPr>
              <w:ind w:firstLine="30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a) 人员排队：多目标持续在检测范围内缓慢移动</w:t>
            </w:r>
          </w:p>
          <w:p>
            <w:pPr>
              <w:numPr>
                <w:ilvl w:val="0"/>
                <w:numId w:val="0"/>
              </w:numPr>
              <w:ind w:firstLine="30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b) 人员拥堵：密集目标持续在检测范围内</w:t>
            </w:r>
          </w:p>
          <w:p>
            <w:pPr>
              <w:numPr>
                <w:ilvl w:val="0"/>
                <w:numId w:val="0"/>
              </w:numPr>
              <w:ind w:firstLine="30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c) 遗留物：进入检测区域后持续不动</w:t>
            </w:r>
          </w:p>
          <w:p>
            <w:pPr>
              <w:numPr>
                <w:ilvl w:val="0"/>
                <w:numId w:val="0"/>
              </w:numPr>
              <w:ind w:firstLine="30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d) 两人打斗：两目标持续在检测范围内移动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CN 103778785 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一种基于停车场环境视频监控的车辆跟踪与检测方法</w:t>
            </w:r>
          </w:p>
        </w:tc>
        <w:tc>
          <w:tcPr>
            <w:tcW w:w="5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1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颜色空间阈值划分的背景查分方法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用外部轮廓作为车辆目标进行分析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CN 101477641 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基于视频监控的人数统计方法和系统</w:t>
            </w:r>
          </w:p>
        </w:tc>
        <w:tc>
          <w:tcPr>
            <w:tcW w:w="5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2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Harr特征检测人头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光流法跟踪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52" w:type="dxa"/>
            <w:tcBorders>
              <w:top w:val="single" w:color="auto" w:sz="4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CN 201255897Y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一种公交人流量监测装置</w:t>
            </w:r>
          </w:p>
        </w:tc>
        <w:tc>
          <w:tcPr>
            <w:tcW w:w="5687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实用新型专利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吸顶式车门摄像头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非联网，监测人数仅供司机和售票员使用</w:t>
            </w:r>
          </w:p>
        </w:tc>
      </w:tr>
    </w:tbl>
    <w:p>
      <w:pPr>
        <w:rPr>
          <w:rFonts w:hint="eastAsia"/>
          <w:sz w:val="15"/>
          <w:szCs w:val="1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摄像机选型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"http://camerablog.wyslink.com/chooseipcamera/"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http://camerablog.wyslink.com/chooseipcamera/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1、IPC类型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IPC主要分为两种：枪机（也称桶型）和半球型。其中枪机比较常见，室内外通用；</w:t>
      </w: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半球型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一般用于室内，体积较小，可以壁挂或吸顶式安装。室外也有一些半球形的。</w:t>
      </w:r>
    </w:p>
    <w:tbl>
      <w:tblPr>
        <w:tblW w:w="8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61"/>
        <w:gridCol w:w="4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7" w:hRule="atLeast"/>
        </w:trPr>
        <w:tc>
          <w:tcPr>
            <w:tcW w:w="4061" w:type="dxa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INCLUDEPICTURE \d "http://camerablog.wyslink.com/wp-content/uploads/2016/07/WHS308-300px.jpg" \* MERGEFORMATINET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057910" cy="1057910"/>
                  <wp:effectExtent l="0" t="0" r="8890" b="8890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910" cy="1057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061" w:type="dxa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"http://camerablog.wyslink.com/wp-content/uploads/2016/07/WHS2-300px-300x294.jpg"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246505" cy="1221740"/>
                  <wp:effectExtent l="0" t="0" r="3175" b="12700"/>
                  <wp:docPr id="10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122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061" w:type="dxa"/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枪机</w:t>
            </w:r>
          </w:p>
        </w:tc>
        <w:tc>
          <w:tcPr>
            <w:tcW w:w="4061" w:type="dxa"/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13"/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半球型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2、供电方式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IPC都支持DC直流电源供电，部分IPC支持PoE供电，连接PoE交换机或PoE网络硬盘录像机即可供电，施工和维护更加简单方便。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"http://service.tp-link.com.cn/pages/imageuploadfolder/201607/20160713135519_6196.png"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117465" cy="1579245"/>
            <wp:effectExtent l="0" t="0" r="3175" b="5715"/>
            <wp:docPr id="7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非PoE供电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：每个摄像头需要电线、网线、PVC套管、插座、安装比较复杂，维护不易。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PoE供电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：一个摄像头一条网线，数据、电力同时传输，简单方便。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对比两种供电方式，PoE供电更简洁，但是需要PoE模块供电，相机也行会价格稍贵。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3、镜头焦距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IPC镜头焦距有2.8mm/4mm/6mm/8mm/12mm等多种，每个产品系列均可以选择镜头焦距，可以满足室内外各种环境的拍摄需求。一般来说，焦距越大，视场角越小，而监控距离越远</w:t>
      </w:r>
      <w:r>
        <w:rPr>
          <w:rFonts w:hint="default" w:ascii="Open Sans" w:hAnsi="Open Sans" w:eastAsia="Open Sans" w:cs="Open Sans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。</w:t>
      </w:r>
      <w:r>
        <w:rPr>
          <w:rFonts w:hint="default" w:ascii="Open Sans" w:hAnsi="Open Sans" w:eastAsia="Open Sans" w:cs="Open Sans"/>
          <w:b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注意</w:t>
      </w:r>
      <w:r>
        <w:rPr>
          <w:rFonts w:hint="default" w:ascii="Open Sans" w:hAnsi="Open Sans" w:eastAsia="Open Sans" w:cs="Open Sans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：监控距离指可以看清人像的有效距离。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"http://camerablog.wyslink.com/wp-content/uploads/2016/10/20160720143104_5080.png"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114925" cy="2397760"/>
            <wp:effectExtent l="0" t="0" r="5715" b="10160"/>
            <wp:docPr id="8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IPC镜头焦距与监控距离的关系如下：</w:t>
      </w:r>
    </w:p>
    <w:tbl>
      <w:tblPr>
        <w:tblW w:w="81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2"/>
        <w:gridCol w:w="4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FBFB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镜头焦距</w:t>
            </w:r>
          </w:p>
        </w:tc>
        <w:tc>
          <w:tcPr>
            <w:tcW w:w="41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FBFB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监控距离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7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ascii="Verdana" w:hAnsi="Verdana" w:cs="Verdana" w:eastAsiaTheme="minorEastAsia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2.8mm</w:t>
            </w:r>
          </w:p>
        </w:tc>
        <w:tc>
          <w:tcPr>
            <w:tcW w:w="4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Verdana" w:hAnsi="Verdana" w:cs="Verdana" w:eastAsiaTheme="minorEastAsia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7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Verdana" w:hAnsi="Verdana" w:cs="Verdana" w:eastAsiaTheme="minorEastAsia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4mm</w:t>
            </w:r>
          </w:p>
        </w:tc>
        <w:tc>
          <w:tcPr>
            <w:tcW w:w="4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Verdana" w:hAnsi="Verdana" w:cs="Verdana" w:eastAsiaTheme="minorEastAsia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7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Verdana" w:hAnsi="Verdana" w:cs="Verdana" w:eastAsiaTheme="minorEastAsia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6mm</w:t>
            </w:r>
          </w:p>
        </w:tc>
        <w:tc>
          <w:tcPr>
            <w:tcW w:w="4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Verdana" w:hAnsi="Verdana" w:cs="Verdana" w:eastAsiaTheme="minorEastAsia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7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Verdana" w:hAnsi="Verdana" w:cs="Verdana" w:eastAsiaTheme="minorEastAsia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8mm</w:t>
            </w:r>
          </w:p>
        </w:tc>
        <w:tc>
          <w:tcPr>
            <w:tcW w:w="4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Verdana" w:hAnsi="Verdana" w:cs="Verdana" w:eastAsiaTheme="minorEastAsia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spacing w:val="2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米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注意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：不同型号的IPC在同一镜头焦距下的视场角可能不同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放到实际使用场景中，2.8mm焦距适用于电梯、楼梯等较为狭小的环境，4mm适用于会议室、商店稍大一些的场景等，而停车场、工厂车间、庭院等更开阔的地方则可以选用6mm以上的镜头；具体选择可以根据需要而定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"http://camerablog.wyslink.com/wp-content/uploads/2016/10/20160720143117_5028.png"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012690" cy="3313430"/>
            <wp:effectExtent l="0" t="0" r="1270" b="8890"/>
            <wp:docPr id="5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4、分辨率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对于监控摄像机来说，清晰度很关键。众所周知，摄像机的分辨率越大、传感器像素越高，拍出来的图像就越清晰。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IPC的传感器像素规格有好几种种，常见的有100万、130万、200万和300万，对应的分辨率如下表：</w:t>
      </w:r>
    </w:p>
    <w:tbl>
      <w:tblPr>
        <w:tblW w:w="81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5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  <w:vertAlign w:val="baseline"/>
              </w:rPr>
              <w:t>传感器像素</w:t>
            </w:r>
          </w:p>
        </w:tc>
        <w:tc>
          <w:tcPr>
            <w:tcW w:w="5492" w:type="dxa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最高分辨率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629" w:type="dxa"/>
            <w:tcBorders>
              <w:top w:val="nil"/>
              <w:left w:val="single" w:color="95B3D7" w:sz="8" w:space="0"/>
              <w:bottom w:val="single" w:color="95B3D7" w:sz="8" w:space="0"/>
              <w:right w:val="single" w:color="95B3D7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100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万</w:t>
            </w:r>
          </w:p>
        </w:tc>
        <w:tc>
          <w:tcPr>
            <w:tcW w:w="5492" w:type="dxa"/>
            <w:tcBorders>
              <w:top w:val="nil"/>
              <w:left w:val="nil"/>
              <w:bottom w:val="single" w:color="95B3D7" w:sz="8" w:space="0"/>
              <w:right w:val="single" w:color="95B3D7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1280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×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720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（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720P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629" w:type="dxa"/>
            <w:tcBorders>
              <w:top w:val="nil"/>
              <w:left w:val="single" w:color="95B3D7" w:sz="8" w:space="0"/>
              <w:bottom w:val="single" w:color="95B3D7" w:sz="8" w:space="0"/>
              <w:right w:val="single" w:color="95B3D7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130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万</w:t>
            </w:r>
          </w:p>
        </w:tc>
        <w:tc>
          <w:tcPr>
            <w:tcW w:w="5492" w:type="dxa"/>
            <w:tcBorders>
              <w:top w:val="nil"/>
              <w:left w:val="nil"/>
              <w:bottom w:val="single" w:color="95B3D7" w:sz="8" w:space="0"/>
              <w:right w:val="single" w:color="95B3D7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1280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×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960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629" w:type="dxa"/>
            <w:tcBorders>
              <w:top w:val="nil"/>
              <w:left w:val="single" w:color="95B3D7" w:sz="8" w:space="0"/>
              <w:bottom w:val="single" w:color="95B3D7" w:sz="8" w:space="0"/>
              <w:right w:val="single" w:color="95B3D7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200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万</w:t>
            </w:r>
          </w:p>
        </w:tc>
        <w:tc>
          <w:tcPr>
            <w:tcW w:w="5492" w:type="dxa"/>
            <w:tcBorders>
              <w:top w:val="nil"/>
              <w:left w:val="nil"/>
              <w:bottom w:val="single" w:color="95B3D7" w:sz="8" w:space="0"/>
              <w:right w:val="single" w:color="95B3D7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1920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×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1080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（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1080P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629" w:type="dxa"/>
            <w:tcBorders>
              <w:top w:val="nil"/>
              <w:left w:val="single" w:color="95B3D7" w:sz="8" w:space="0"/>
              <w:bottom w:val="single" w:color="95B3D7" w:sz="8" w:space="0"/>
              <w:right w:val="single" w:color="95B3D7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300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万</w:t>
            </w:r>
          </w:p>
        </w:tc>
        <w:tc>
          <w:tcPr>
            <w:tcW w:w="5492" w:type="dxa"/>
            <w:tcBorders>
              <w:top w:val="nil"/>
              <w:left w:val="nil"/>
              <w:bottom w:val="single" w:color="95B3D7" w:sz="8" w:space="0"/>
              <w:right w:val="single" w:color="95B3D7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3" w:lineRule="atLeast"/>
              <w:ind w:left="0" w:right="0" w:firstLine="0"/>
              <w:jc w:val="center"/>
              <w:textAlignment w:val="baseline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2048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×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  <w:lang w:val="en-US"/>
              </w:rPr>
              <w:t>1536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那么，是不是分辨率越高就越好呢？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确实，分辨率、像素较高的摄像机，拍出来的效果也会较好，但是，它所占用的带宽和内存空间也会更大，同样大小的硬盘所能录下的时间也就越短。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下面是一个6T的硬盘，存储高清视频的估算天数。如果少于4路IPC，一般带宽1M-2M的情况下1T-2T硬盘基本可以保存1个月。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"http://camerablog.wyslink.com/wp-content/uploads/2016/10/20160713135557_4332.png"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179695" cy="1968500"/>
            <wp:effectExtent l="0" t="0" r="1905" b="12700"/>
            <wp:docPr id="9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所以，选择摄像头的分辨率时，在追求清晰度的时候也要考虑存储问题，挑选自己适用的即可。当然，结合定时录像和移动侦测录像，硬盘存储的实际有价值监控录像的时间会更长。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5、夜视距离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要想夜晚监控也到位，就得用夜视效果好的IPC。夜视距离主要由红外灯数量决定。一般夜视距离在10米到30米。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13"/>
          <w:rFonts w:hint="default" w:ascii="Open Sans" w:hAnsi="Open Sans" w:eastAsia="Open Sans" w:cs="Open Sans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6、编码标准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PC和NVR支持的编码标准有两种：H.264和H.265，后者为新一代编码标准，可以在不损失图像质量的同时，将视频大小压缩至前者的一半。在带宽相同的情况下，H.265可以传输更加高清的视频。但H.265价格稍贵还不是很普及。目前市场流行的大部分是H.264格式的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"http://service.tp-link.com.cn/detail_article_3297.html"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http://service.tp-link.com.cn/detail_article_3297.html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"http://www.sohu.com/a/149217455_468699"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http://www.sohu.com/a/149217455_468699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16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20"/>
        <w:gridCol w:w="1511"/>
        <w:gridCol w:w="718"/>
        <w:gridCol w:w="1496"/>
        <w:gridCol w:w="1662"/>
        <w:gridCol w:w="1537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0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公司</w:t>
            </w:r>
          </w:p>
        </w:tc>
        <w:tc>
          <w:tcPr>
            <w:tcW w:w="1511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产品型号</w:t>
            </w:r>
          </w:p>
        </w:tc>
        <w:tc>
          <w:tcPr>
            <w:tcW w:w="71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分辨率</w:t>
            </w:r>
          </w:p>
        </w:tc>
        <w:tc>
          <w:tcPr>
            <w:tcW w:w="1496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焦距</w:t>
            </w:r>
          </w:p>
        </w:tc>
        <w:tc>
          <w:tcPr>
            <w:tcW w:w="1662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视场角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红外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0" w:type="dxa"/>
            <w:vMerge w:val="restart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海康</w:t>
            </w:r>
          </w:p>
        </w:tc>
        <w:tc>
          <w:tcPr>
            <w:tcW w:w="1511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 w:eastAsia="zh-CN"/>
              </w:rPr>
              <w:t>萤石C3C</w:t>
            </w:r>
          </w:p>
        </w:tc>
        <w:tc>
          <w:tcPr>
            <w:tcW w:w="71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100万</w:t>
            </w:r>
          </w:p>
        </w:tc>
        <w:tc>
          <w:tcPr>
            <w:tcW w:w="1496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2.8mm@ F2.0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水平视场角:92°</w:t>
            </w:r>
          </w:p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对角114°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30米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Micro SD卡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0" w:type="dxa"/>
            <w:vMerge w:val="continue"/>
            <w:tcBorders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11" w:type="dxa"/>
          </w:tcPr>
          <w:p>
            <w:pPr>
              <w:rPr>
                <w:rFonts w:hint="default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 w:eastAsia="zh-CN"/>
              </w:rPr>
              <w:t>萤石</w:t>
            </w:r>
          </w:p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 w:eastAsia="zh-CN"/>
              </w:rPr>
              <w:t>CS-C2C-1A1WFR</w:t>
            </w:r>
          </w:p>
        </w:tc>
        <w:tc>
          <w:tcPr>
            <w:tcW w:w="71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100万</w:t>
            </w:r>
          </w:p>
        </w:tc>
        <w:tc>
          <w:tcPr>
            <w:tcW w:w="1496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2.8mm@ F2.5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水平视场角：90度</w:t>
            </w:r>
          </w:p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对角111度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无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Micro SD卡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0" w:type="dxa"/>
            <w:vMerge w:val="continue"/>
            <w:tcBorders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11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 w:eastAsia="zh-CN"/>
              </w:rPr>
              <w:t>萤石C6</w:t>
            </w:r>
          </w:p>
        </w:tc>
        <w:tc>
          <w:tcPr>
            <w:tcW w:w="71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130万</w:t>
            </w:r>
          </w:p>
        </w:tc>
        <w:tc>
          <w:tcPr>
            <w:tcW w:w="1496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4mm@ F2.2</w:t>
            </w:r>
          </w:p>
        </w:tc>
        <w:tc>
          <w:tcPr>
            <w:tcW w:w="166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对角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92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  <w:lang w:val="en-US" w:eastAsia="zh-CN"/>
              </w:rPr>
              <w:t>°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30米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云存储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0" w:type="dxa"/>
            <w:vMerge w:val="restart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大华</w:t>
            </w:r>
          </w:p>
        </w:tc>
        <w:tc>
          <w:tcPr>
            <w:tcW w:w="1511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DH-IPC-HDW4236C-A</w:t>
            </w:r>
          </w:p>
        </w:tc>
        <w:tc>
          <w:tcPr>
            <w:tcW w:w="71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200万</w:t>
            </w:r>
          </w:p>
        </w:tc>
        <w:tc>
          <w:tcPr>
            <w:tcW w:w="1496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2.8mm/3.6mm/6mm/8mm</w:t>
            </w:r>
          </w:p>
        </w:tc>
        <w:tc>
          <w:tcPr>
            <w:tcW w:w="1662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红外灯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云存储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0" w:type="dxa"/>
            <w:vMerge w:val="continue"/>
            <w:tcBorders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11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DH-IPC-HD2100P</w:t>
            </w:r>
          </w:p>
        </w:tc>
        <w:tc>
          <w:tcPr>
            <w:tcW w:w="71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1280×960</w:t>
            </w:r>
          </w:p>
        </w:tc>
        <w:tc>
          <w:tcPr>
            <w:tcW w:w="1496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2.8mm/3.6mm/6mm/8mm</w:t>
            </w:r>
          </w:p>
        </w:tc>
        <w:tc>
          <w:tcPr>
            <w:tcW w:w="1662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视场角：114°；70°；46°；35°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无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CN"/>
              </w:rPr>
              <w:t>云存储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189" w:h="15817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70A3"/>
    <w:multiLevelType w:val="multilevel"/>
    <w:tmpl w:val="5A2970A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A297C7B"/>
    <w:multiLevelType w:val="singleLevel"/>
    <w:tmpl w:val="5A297C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298055"/>
    <w:multiLevelType w:val="singleLevel"/>
    <w:tmpl w:val="5A2980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2985E2"/>
    <w:multiLevelType w:val="singleLevel"/>
    <w:tmpl w:val="5A2985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298783"/>
    <w:multiLevelType w:val="singleLevel"/>
    <w:tmpl w:val="5A298783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A298DF3"/>
    <w:multiLevelType w:val="singleLevel"/>
    <w:tmpl w:val="5A298DF3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A299151"/>
    <w:multiLevelType w:val="singleLevel"/>
    <w:tmpl w:val="5A299151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A29936A"/>
    <w:multiLevelType w:val="singleLevel"/>
    <w:tmpl w:val="5A29936A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5A299428"/>
    <w:multiLevelType w:val="singleLevel"/>
    <w:tmpl w:val="5A299428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5A2994C2"/>
    <w:multiLevelType w:val="singleLevel"/>
    <w:tmpl w:val="5A2994C2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5A299600"/>
    <w:multiLevelType w:val="singleLevel"/>
    <w:tmpl w:val="5A299600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5A2997B4"/>
    <w:multiLevelType w:val="singleLevel"/>
    <w:tmpl w:val="5A2997B4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5A299833"/>
    <w:multiLevelType w:val="singleLevel"/>
    <w:tmpl w:val="5A29983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E21B0"/>
    <w:rsid w:val="02612724"/>
    <w:rsid w:val="07A20201"/>
    <w:rsid w:val="0D224966"/>
    <w:rsid w:val="0E672B9C"/>
    <w:rsid w:val="10423CC3"/>
    <w:rsid w:val="11261710"/>
    <w:rsid w:val="146E6463"/>
    <w:rsid w:val="162E63F2"/>
    <w:rsid w:val="1A081F96"/>
    <w:rsid w:val="1B9E0FA6"/>
    <w:rsid w:val="1C51329F"/>
    <w:rsid w:val="20B92443"/>
    <w:rsid w:val="216E4079"/>
    <w:rsid w:val="222501B3"/>
    <w:rsid w:val="29241F3A"/>
    <w:rsid w:val="2B922B09"/>
    <w:rsid w:val="2BFD6C6C"/>
    <w:rsid w:val="35CC30C4"/>
    <w:rsid w:val="383831B0"/>
    <w:rsid w:val="397128AF"/>
    <w:rsid w:val="3AD520EC"/>
    <w:rsid w:val="3BE15198"/>
    <w:rsid w:val="3D16784F"/>
    <w:rsid w:val="3D7A386F"/>
    <w:rsid w:val="3DDA6860"/>
    <w:rsid w:val="46384D1C"/>
    <w:rsid w:val="46B2244E"/>
    <w:rsid w:val="476C214C"/>
    <w:rsid w:val="48057993"/>
    <w:rsid w:val="512607F9"/>
    <w:rsid w:val="52BB5970"/>
    <w:rsid w:val="55613C79"/>
    <w:rsid w:val="56B73DFC"/>
    <w:rsid w:val="59965986"/>
    <w:rsid w:val="5AF77372"/>
    <w:rsid w:val="60832A70"/>
    <w:rsid w:val="6902066E"/>
    <w:rsid w:val="691A7AFD"/>
    <w:rsid w:val="6D242E4B"/>
    <w:rsid w:val="719C7804"/>
    <w:rsid w:val="723C4714"/>
    <w:rsid w:val="78CD399E"/>
    <w:rsid w:val="79DE6F89"/>
    <w:rsid w:val="7B2954FF"/>
    <w:rsid w:val="7C5645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36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90" w:afterLines="0" w:afterAutospacing="0" w:line="360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App#12</cp:lastModifiedBy>
  <dcterms:modified xsi:type="dcterms:W3CDTF">2017-12-19T00:20:55Z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