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1951" w14:textId="3F18FCF1" w:rsidR="003340BF" w:rsidRPr="000714B3" w:rsidRDefault="00CC4FEA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Parties that collect data systematically from websites by use of an automated device (“</w:t>
      </w:r>
      <w:r w:rsidRPr="000714B3">
        <w:rPr>
          <w:rFonts w:asciiTheme="minorHAnsi" w:eastAsia="Times New Roman" w:hAnsiTheme="minorHAnsi" w:cstheme="minorHAnsi"/>
          <w:b/>
        </w:rPr>
        <w:t>Data Collectors</w:t>
      </w:r>
      <w:r w:rsidRPr="000714B3">
        <w:rPr>
          <w:rFonts w:asciiTheme="minorHAnsi" w:eastAsia="Times New Roman" w:hAnsiTheme="minorHAnsi" w:cstheme="minorHAnsi"/>
        </w:rPr>
        <w:t xml:space="preserve">”) should be mindful </w:t>
      </w:r>
      <w:r w:rsidR="00C1538D" w:rsidRPr="000714B3">
        <w:rPr>
          <w:rFonts w:asciiTheme="minorHAnsi" w:eastAsia="Times New Roman" w:hAnsiTheme="minorHAnsi" w:cstheme="minorHAnsi"/>
        </w:rPr>
        <w:t xml:space="preserve">of privacy laws and regulations, which have </w:t>
      </w:r>
      <w:r w:rsidR="00927330" w:rsidRPr="000714B3">
        <w:rPr>
          <w:rFonts w:asciiTheme="minorHAnsi" w:eastAsia="Times New Roman" w:hAnsiTheme="minorHAnsi" w:cstheme="minorHAnsi"/>
        </w:rPr>
        <w:t>evolved</w:t>
      </w:r>
      <w:r w:rsidR="00465060" w:rsidRPr="000714B3">
        <w:rPr>
          <w:rFonts w:asciiTheme="minorHAnsi" w:eastAsia="Times New Roman" w:hAnsiTheme="minorHAnsi" w:cstheme="minorHAnsi"/>
        </w:rPr>
        <w:t xml:space="preserve"> significantly in recent years</w:t>
      </w:r>
      <w:r w:rsidRPr="000714B3">
        <w:rPr>
          <w:rFonts w:asciiTheme="minorHAnsi" w:eastAsia="Times New Roman" w:hAnsiTheme="minorHAnsi" w:cstheme="minorHAnsi"/>
        </w:rPr>
        <w:t xml:space="preserve">. Two </w:t>
      </w:r>
      <w:proofErr w:type="gramStart"/>
      <w:r w:rsidR="00573A4E" w:rsidRPr="000714B3">
        <w:rPr>
          <w:rFonts w:asciiTheme="minorHAnsi" w:eastAsia="Times New Roman" w:hAnsiTheme="minorHAnsi" w:cstheme="minorHAnsi"/>
        </w:rPr>
        <w:t>recently-</w:t>
      </w:r>
      <w:r w:rsidR="007D7F4F" w:rsidRPr="000714B3">
        <w:rPr>
          <w:rFonts w:asciiTheme="minorHAnsi" w:eastAsia="Times New Roman" w:hAnsiTheme="minorHAnsi" w:cstheme="minorHAnsi"/>
        </w:rPr>
        <w:t>enacted</w:t>
      </w:r>
      <w:proofErr w:type="gramEnd"/>
      <w:r w:rsidR="007D7F4F" w:rsidRPr="000714B3">
        <w:rPr>
          <w:rFonts w:asciiTheme="minorHAnsi" w:eastAsia="Times New Roman" w:hAnsiTheme="minorHAnsi" w:cstheme="minorHAnsi"/>
        </w:rPr>
        <w:t xml:space="preserve"> privacy frameworks </w:t>
      </w:r>
      <w:r w:rsidR="00407C40" w:rsidRPr="000714B3">
        <w:rPr>
          <w:rFonts w:asciiTheme="minorHAnsi" w:eastAsia="Times New Roman" w:hAnsiTheme="minorHAnsi" w:cstheme="minorHAnsi"/>
        </w:rPr>
        <w:t>likely to be relevant</w:t>
      </w:r>
      <w:r w:rsidRPr="000714B3">
        <w:rPr>
          <w:rFonts w:asciiTheme="minorHAnsi" w:eastAsia="Times New Roman" w:hAnsiTheme="minorHAnsi" w:cstheme="minorHAnsi"/>
        </w:rPr>
        <w:t xml:space="preserve"> </w:t>
      </w:r>
      <w:r w:rsidR="00C1538D" w:rsidRPr="000714B3">
        <w:rPr>
          <w:rFonts w:asciiTheme="minorHAnsi" w:eastAsia="Times New Roman" w:hAnsiTheme="minorHAnsi" w:cstheme="minorHAnsi"/>
        </w:rPr>
        <w:t xml:space="preserve">to Data Collectors </w:t>
      </w:r>
      <w:r w:rsidRPr="000714B3">
        <w:rPr>
          <w:rFonts w:asciiTheme="minorHAnsi" w:eastAsia="Times New Roman" w:hAnsiTheme="minorHAnsi" w:cstheme="minorHAnsi"/>
        </w:rPr>
        <w:t>are</w:t>
      </w:r>
      <w:r w:rsidR="003340BF" w:rsidRPr="000714B3">
        <w:rPr>
          <w:rFonts w:asciiTheme="minorHAnsi" w:eastAsia="Times New Roman" w:hAnsiTheme="minorHAnsi" w:cstheme="minorHAnsi"/>
        </w:rPr>
        <w:t>:</w:t>
      </w:r>
    </w:p>
    <w:p w14:paraId="0A18D4BB" w14:textId="3F14A29C" w:rsidR="003340BF" w:rsidRPr="000714B3" w:rsidRDefault="003F0CDA" w:rsidP="003340BF">
      <w:pPr>
        <w:pStyle w:val="ListParagraph"/>
        <w:autoSpaceDE w:val="0"/>
        <w:autoSpaceDN w:val="0"/>
        <w:adjustRightInd w:val="0"/>
        <w:spacing w:before="220" w:after="220"/>
        <w:ind w:left="0" w:firstLine="7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(1) </w:t>
      </w:r>
      <w:r w:rsidR="00407C40" w:rsidRPr="000714B3">
        <w:rPr>
          <w:rFonts w:asciiTheme="minorHAnsi" w:eastAsia="Times New Roman" w:hAnsiTheme="minorHAnsi" w:cstheme="minorHAnsi"/>
        </w:rPr>
        <w:t>t</w:t>
      </w:r>
      <w:r w:rsidR="007D7F4F" w:rsidRPr="000714B3">
        <w:rPr>
          <w:rFonts w:asciiTheme="minorHAnsi" w:eastAsia="Times New Roman" w:hAnsiTheme="minorHAnsi" w:cstheme="minorHAnsi"/>
        </w:rPr>
        <w:t xml:space="preserve">he European </w:t>
      </w:r>
      <w:r w:rsidR="00465060" w:rsidRPr="000714B3">
        <w:rPr>
          <w:rFonts w:asciiTheme="minorHAnsi" w:eastAsia="Times New Roman" w:hAnsiTheme="minorHAnsi" w:cstheme="minorHAnsi"/>
        </w:rPr>
        <w:t>General Data Protection Regulation (</w:t>
      </w:r>
      <w:r w:rsidR="007D7F4F" w:rsidRPr="000714B3">
        <w:rPr>
          <w:rFonts w:asciiTheme="minorHAnsi" w:eastAsia="Times New Roman" w:hAnsiTheme="minorHAnsi" w:cstheme="minorHAnsi"/>
        </w:rPr>
        <w:t>“</w:t>
      </w:r>
      <w:r w:rsidR="00465060" w:rsidRPr="000714B3">
        <w:rPr>
          <w:rFonts w:asciiTheme="minorHAnsi" w:eastAsia="Times New Roman" w:hAnsiTheme="minorHAnsi" w:cstheme="minorHAnsi"/>
          <w:b/>
        </w:rPr>
        <w:t>GDPR</w:t>
      </w:r>
      <w:r w:rsidR="007D7F4F" w:rsidRPr="000714B3">
        <w:rPr>
          <w:rFonts w:asciiTheme="minorHAnsi" w:eastAsia="Times New Roman" w:hAnsiTheme="minorHAnsi" w:cstheme="minorHAnsi"/>
        </w:rPr>
        <w:t>”</w:t>
      </w:r>
      <w:r w:rsidR="00465060" w:rsidRPr="000714B3">
        <w:rPr>
          <w:rFonts w:asciiTheme="minorHAnsi" w:eastAsia="Times New Roman" w:hAnsiTheme="minorHAnsi" w:cstheme="minorHAnsi"/>
        </w:rPr>
        <w:t>)</w:t>
      </w:r>
      <w:r w:rsidRPr="000714B3">
        <w:rPr>
          <w:rFonts w:asciiTheme="minorHAnsi" w:eastAsia="Times New Roman" w:hAnsiTheme="minorHAnsi" w:cstheme="minorHAnsi"/>
        </w:rPr>
        <w:t>, which</w:t>
      </w:r>
      <w:r w:rsidR="00465060" w:rsidRPr="000714B3">
        <w:rPr>
          <w:rFonts w:asciiTheme="minorHAnsi" w:eastAsia="Times New Roman" w:hAnsiTheme="minorHAnsi" w:cstheme="minorHAnsi"/>
        </w:rPr>
        <w:t xml:space="preserve"> </w:t>
      </w:r>
      <w:r w:rsidR="007747E8" w:rsidRPr="000714B3">
        <w:rPr>
          <w:rFonts w:asciiTheme="minorHAnsi" w:eastAsia="Times New Roman" w:hAnsiTheme="minorHAnsi" w:cstheme="minorHAnsi"/>
        </w:rPr>
        <w:t>became enforceable on May 25, 2018</w:t>
      </w:r>
      <w:r w:rsidR="003340BF" w:rsidRPr="000714B3">
        <w:rPr>
          <w:rFonts w:asciiTheme="minorHAnsi" w:eastAsia="Times New Roman" w:hAnsiTheme="minorHAnsi" w:cstheme="minorHAnsi"/>
        </w:rPr>
        <w:t>;</w:t>
      </w:r>
      <w:r w:rsidR="00983851" w:rsidRPr="000714B3">
        <w:rPr>
          <w:rFonts w:asciiTheme="minorHAnsi" w:eastAsia="Times New Roman" w:hAnsiTheme="minorHAnsi" w:cstheme="minorHAnsi"/>
        </w:rPr>
        <w:t xml:space="preserve"> </w:t>
      </w:r>
      <w:r w:rsidR="003340BF" w:rsidRPr="000714B3">
        <w:rPr>
          <w:rFonts w:asciiTheme="minorHAnsi" w:eastAsia="Times New Roman" w:hAnsiTheme="minorHAnsi" w:cstheme="minorHAnsi"/>
        </w:rPr>
        <w:t>and</w:t>
      </w:r>
    </w:p>
    <w:p w14:paraId="412F3D15" w14:textId="362C0919" w:rsidR="003340BF" w:rsidRPr="000714B3" w:rsidRDefault="003F0CDA" w:rsidP="003340BF">
      <w:pPr>
        <w:pStyle w:val="ListParagraph"/>
        <w:autoSpaceDE w:val="0"/>
        <w:autoSpaceDN w:val="0"/>
        <w:adjustRightInd w:val="0"/>
        <w:spacing w:before="220" w:after="220"/>
        <w:ind w:left="0" w:firstLine="7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(2) </w:t>
      </w:r>
      <w:r w:rsidR="009346C5" w:rsidRPr="000714B3">
        <w:rPr>
          <w:rFonts w:asciiTheme="minorHAnsi" w:eastAsia="Times New Roman" w:hAnsiTheme="minorHAnsi" w:cstheme="minorHAnsi"/>
        </w:rPr>
        <w:t>the California Consumer Privacy Act (“</w:t>
      </w:r>
      <w:r w:rsidR="009346C5" w:rsidRPr="000714B3">
        <w:rPr>
          <w:rFonts w:asciiTheme="minorHAnsi" w:eastAsia="Times New Roman" w:hAnsiTheme="minorHAnsi" w:cstheme="minorHAnsi"/>
          <w:b/>
        </w:rPr>
        <w:t>CCPA</w:t>
      </w:r>
      <w:r w:rsidR="009346C5" w:rsidRPr="000714B3">
        <w:rPr>
          <w:rFonts w:asciiTheme="minorHAnsi" w:eastAsia="Times New Roman" w:hAnsiTheme="minorHAnsi" w:cstheme="minorHAnsi"/>
        </w:rPr>
        <w:t>”)</w:t>
      </w:r>
      <w:r w:rsidR="001B573B" w:rsidRPr="000714B3">
        <w:rPr>
          <w:rFonts w:asciiTheme="minorHAnsi" w:eastAsia="Times New Roman" w:hAnsiTheme="minorHAnsi" w:cstheme="minorHAnsi"/>
        </w:rPr>
        <w:t>, which</w:t>
      </w:r>
      <w:r w:rsidR="009346C5" w:rsidRPr="000714B3">
        <w:rPr>
          <w:rFonts w:asciiTheme="minorHAnsi" w:eastAsia="Times New Roman" w:hAnsiTheme="minorHAnsi" w:cstheme="minorHAnsi"/>
        </w:rPr>
        <w:t xml:space="preserve"> becam</w:t>
      </w:r>
      <w:r w:rsidRPr="000714B3">
        <w:rPr>
          <w:rFonts w:asciiTheme="minorHAnsi" w:eastAsia="Times New Roman" w:hAnsiTheme="minorHAnsi" w:cstheme="minorHAnsi"/>
        </w:rPr>
        <w:t>e effective on January 1, 2020</w:t>
      </w:r>
      <w:r w:rsidR="00400B51" w:rsidRPr="000714B3">
        <w:rPr>
          <w:rFonts w:asciiTheme="minorHAnsi" w:eastAsia="Times New Roman" w:hAnsiTheme="minorHAnsi" w:cstheme="minorHAnsi"/>
        </w:rPr>
        <w:t xml:space="preserve"> (the GDPR, CCPA, and other privacy laws and regulations</w:t>
      </w:r>
      <w:r w:rsidR="00C1538D" w:rsidRPr="000714B3">
        <w:rPr>
          <w:rFonts w:asciiTheme="minorHAnsi" w:eastAsia="Times New Roman" w:hAnsiTheme="minorHAnsi" w:cstheme="minorHAnsi"/>
        </w:rPr>
        <w:t xml:space="preserve"> are referred to in this document collectively as </w:t>
      </w:r>
      <w:r w:rsidR="00400B51" w:rsidRPr="000714B3">
        <w:rPr>
          <w:rFonts w:asciiTheme="minorHAnsi" w:eastAsia="Times New Roman" w:hAnsiTheme="minorHAnsi" w:cstheme="minorHAnsi"/>
        </w:rPr>
        <w:t>“</w:t>
      </w:r>
      <w:r w:rsidR="00400B51" w:rsidRPr="000714B3">
        <w:rPr>
          <w:rFonts w:asciiTheme="minorHAnsi" w:eastAsia="Times New Roman" w:hAnsiTheme="minorHAnsi" w:cstheme="minorHAnsi"/>
          <w:b/>
        </w:rPr>
        <w:t>Privacy Law</w:t>
      </w:r>
      <w:r w:rsidR="00362620" w:rsidRPr="000714B3">
        <w:rPr>
          <w:rFonts w:asciiTheme="minorHAnsi" w:eastAsia="Times New Roman" w:hAnsiTheme="minorHAnsi" w:cstheme="minorHAnsi"/>
          <w:b/>
        </w:rPr>
        <w:t>s</w:t>
      </w:r>
      <w:r w:rsidR="00400B51" w:rsidRPr="000714B3">
        <w:rPr>
          <w:rFonts w:asciiTheme="minorHAnsi" w:eastAsia="Times New Roman" w:hAnsiTheme="minorHAnsi" w:cstheme="minorHAnsi"/>
        </w:rPr>
        <w:t>”).</w:t>
      </w:r>
      <w:r w:rsidRPr="000714B3">
        <w:rPr>
          <w:rFonts w:asciiTheme="minorHAnsi" w:eastAsia="Times New Roman" w:hAnsiTheme="minorHAnsi" w:cstheme="minorHAnsi"/>
        </w:rPr>
        <w:t xml:space="preserve"> </w:t>
      </w:r>
    </w:p>
    <w:p w14:paraId="0D07811B" w14:textId="577BA96D" w:rsidR="00465060" w:rsidRPr="000714B3" w:rsidRDefault="00315B5A" w:rsidP="003340BF">
      <w:pPr>
        <w:pStyle w:val="ListParagraph"/>
        <w:autoSpaceDE w:val="0"/>
        <w:autoSpaceDN w:val="0"/>
        <w:adjustRightInd w:val="0"/>
        <w:spacing w:before="220" w:after="220"/>
        <w:ind w:left="0" w:firstLine="7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The GDPR and CCPA often impact Data Collectors not </w:t>
      </w:r>
      <w:r w:rsidR="006E3812" w:rsidRPr="000714B3">
        <w:rPr>
          <w:rFonts w:asciiTheme="minorHAnsi" w:eastAsia="Times New Roman" w:hAnsiTheme="minorHAnsi" w:cstheme="minorHAnsi"/>
        </w:rPr>
        <w:t>based</w:t>
      </w:r>
      <w:r w:rsidRPr="000714B3">
        <w:rPr>
          <w:rFonts w:asciiTheme="minorHAnsi" w:eastAsia="Times New Roman" w:hAnsiTheme="minorHAnsi" w:cstheme="minorHAnsi"/>
        </w:rPr>
        <w:t xml:space="preserve"> in Europe or California</w:t>
      </w:r>
      <w:r w:rsidR="006E3812" w:rsidRPr="000714B3">
        <w:rPr>
          <w:rFonts w:asciiTheme="minorHAnsi" w:eastAsia="Times New Roman" w:hAnsiTheme="minorHAnsi" w:cstheme="minorHAnsi"/>
        </w:rPr>
        <w:t>. The CCPA applies to many entities merely “doing business” in California, and the GDPR applies to an</w:t>
      </w:r>
      <w:r w:rsidR="00D51C4A" w:rsidRPr="000714B3">
        <w:rPr>
          <w:rFonts w:asciiTheme="minorHAnsi" w:eastAsia="Times New Roman" w:hAnsiTheme="minorHAnsi" w:cstheme="minorHAnsi"/>
        </w:rPr>
        <w:t>y</w:t>
      </w:r>
      <w:r w:rsidR="006E3812" w:rsidRPr="000714B3">
        <w:rPr>
          <w:rFonts w:asciiTheme="minorHAnsi" w:eastAsia="Times New Roman" w:hAnsiTheme="minorHAnsi" w:cstheme="minorHAnsi"/>
        </w:rPr>
        <w:t xml:space="preserve"> entity globally that processes personal data relating to </w:t>
      </w:r>
      <w:r w:rsidR="00D51C4A" w:rsidRPr="000714B3">
        <w:rPr>
          <w:rFonts w:asciiTheme="minorHAnsi" w:eastAsia="Times New Roman" w:hAnsiTheme="minorHAnsi" w:cstheme="minorHAnsi"/>
        </w:rPr>
        <w:t xml:space="preserve">EU data subjects in connection with offering goods or services in the EU (or monitoring the behavior of EU data subjects). </w:t>
      </w:r>
    </w:p>
    <w:p w14:paraId="62F4ECEB" w14:textId="59A56783" w:rsidR="0030602D" w:rsidRPr="000714B3" w:rsidRDefault="00611016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jc w:val="both"/>
        <w:rPr>
          <w:rFonts w:asciiTheme="minorHAnsi" w:eastAsia="Times New Roman" w:hAnsiTheme="minorHAnsi" w:cstheme="minorHAnsi"/>
          <w:b/>
          <w:bCs/>
        </w:rPr>
      </w:pPr>
      <w:r w:rsidRPr="000714B3">
        <w:rPr>
          <w:rFonts w:asciiTheme="minorHAnsi" w:eastAsia="Times New Roman" w:hAnsiTheme="minorHAnsi" w:cstheme="minorHAnsi"/>
          <w:b/>
          <w:bCs/>
        </w:rPr>
        <w:t xml:space="preserve">When is </w:t>
      </w:r>
      <w:r w:rsidR="005F0C06" w:rsidRPr="000714B3">
        <w:rPr>
          <w:rFonts w:asciiTheme="minorHAnsi" w:eastAsia="Times New Roman" w:hAnsiTheme="minorHAnsi" w:cstheme="minorHAnsi"/>
          <w:b/>
          <w:bCs/>
        </w:rPr>
        <w:t>Privacy L</w:t>
      </w:r>
      <w:r w:rsidR="00EE1775" w:rsidRPr="000714B3">
        <w:rPr>
          <w:rFonts w:asciiTheme="minorHAnsi" w:eastAsia="Times New Roman" w:hAnsiTheme="minorHAnsi" w:cstheme="minorHAnsi"/>
          <w:b/>
          <w:bCs/>
        </w:rPr>
        <w:t xml:space="preserve">aw </w:t>
      </w:r>
      <w:r w:rsidR="005F0C06" w:rsidRPr="000714B3">
        <w:rPr>
          <w:rFonts w:asciiTheme="minorHAnsi" w:eastAsia="Times New Roman" w:hAnsiTheme="minorHAnsi" w:cstheme="minorHAnsi"/>
          <w:b/>
          <w:bCs/>
        </w:rPr>
        <w:t>applicable</w:t>
      </w:r>
      <w:r w:rsidR="00063E56" w:rsidRPr="000714B3">
        <w:rPr>
          <w:rFonts w:asciiTheme="minorHAnsi" w:eastAsia="Times New Roman" w:hAnsiTheme="minorHAnsi" w:cstheme="minorHAnsi"/>
          <w:b/>
          <w:bCs/>
        </w:rPr>
        <w:t>?</w:t>
      </w:r>
    </w:p>
    <w:p w14:paraId="5B2416BE" w14:textId="595E4A9D" w:rsidR="00485370" w:rsidRPr="000714B3" w:rsidRDefault="00034347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The GDPR governs </w:t>
      </w:r>
      <w:r w:rsidR="0096468C" w:rsidRPr="000714B3">
        <w:rPr>
          <w:rFonts w:asciiTheme="minorHAnsi" w:eastAsia="Times New Roman" w:hAnsiTheme="minorHAnsi" w:cstheme="minorHAnsi"/>
        </w:rPr>
        <w:t xml:space="preserve">“personal data,” which is defined as “any information relating to an identified or identifiable natural person” </w:t>
      </w:r>
      <w:r w:rsidR="00BE2786" w:rsidRPr="000714B3">
        <w:rPr>
          <w:rFonts w:asciiTheme="minorHAnsi" w:eastAsia="Times New Roman" w:hAnsiTheme="minorHAnsi" w:cstheme="minorHAnsi"/>
        </w:rPr>
        <w:t>and</w:t>
      </w:r>
      <w:r w:rsidRPr="000714B3">
        <w:rPr>
          <w:rFonts w:asciiTheme="minorHAnsi" w:eastAsia="Times New Roman" w:hAnsiTheme="minorHAnsi" w:cstheme="minorHAnsi"/>
        </w:rPr>
        <w:t xml:space="preserve"> the CCPA governs</w:t>
      </w:r>
      <w:r w:rsidR="00BE2786" w:rsidRPr="000714B3">
        <w:rPr>
          <w:rFonts w:asciiTheme="minorHAnsi" w:eastAsia="Times New Roman" w:hAnsiTheme="minorHAnsi" w:cstheme="minorHAnsi"/>
        </w:rPr>
        <w:t xml:space="preserve"> “personal information,” which is defined as </w:t>
      </w:r>
      <w:r w:rsidR="003C323C" w:rsidRPr="000714B3">
        <w:rPr>
          <w:rFonts w:asciiTheme="minorHAnsi" w:eastAsia="Times New Roman" w:hAnsiTheme="minorHAnsi" w:cstheme="minorHAnsi"/>
        </w:rPr>
        <w:t>“information that identifies, relates to, describes, is capable of being associated with, or could reasonably be linked, directly or indirectly, with a particular consumer or household</w:t>
      </w:r>
      <w:r w:rsidR="003522DE" w:rsidRPr="000714B3">
        <w:rPr>
          <w:rFonts w:asciiTheme="minorHAnsi" w:eastAsia="Times New Roman" w:hAnsiTheme="minorHAnsi" w:cstheme="minorHAnsi"/>
        </w:rPr>
        <w:t>”</w:t>
      </w:r>
      <w:r w:rsidRPr="000714B3">
        <w:rPr>
          <w:rFonts w:asciiTheme="minorHAnsi" w:eastAsia="Times New Roman" w:hAnsiTheme="minorHAnsi" w:cstheme="minorHAnsi"/>
        </w:rPr>
        <w:t xml:space="preserve"> (</w:t>
      </w:r>
      <w:r w:rsidR="00E02E82" w:rsidRPr="000714B3">
        <w:rPr>
          <w:rFonts w:asciiTheme="minorHAnsi" w:eastAsia="Times New Roman" w:hAnsiTheme="minorHAnsi" w:cstheme="minorHAnsi"/>
        </w:rPr>
        <w:t>data meeting either definition</w:t>
      </w:r>
      <w:r w:rsidR="003522DE" w:rsidRPr="000714B3">
        <w:rPr>
          <w:rFonts w:asciiTheme="minorHAnsi" w:eastAsia="Times New Roman" w:hAnsiTheme="minorHAnsi" w:cstheme="minorHAnsi"/>
        </w:rPr>
        <w:t xml:space="preserve"> </w:t>
      </w:r>
      <w:r w:rsidR="00DD7058" w:rsidRPr="000714B3">
        <w:rPr>
          <w:rFonts w:asciiTheme="minorHAnsi" w:eastAsia="Times New Roman" w:hAnsiTheme="minorHAnsi" w:cstheme="minorHAnsi"/>
        </w:rPr>
        <w:t>is</w:t>
      </w:r>
      <w:r w:rsidR="003522DE" w:rsidRPr="000714B3">
        <w:rPr>
          <w:rFonts w:asciiTheme="minorHAnsi" w:eastAsia="Times New Roman" w:hAnsiTheme="minorHAnsi" w:cstheme="minorHAnsi"/>
        </w:rPr>
        <w:t xml:space="preserve"> referred to </w:t>
      </w:r>
      <w:r w:rsidR="00E02E82" w:rsidRPr="000714B3">
        <w:rPr>
          <w:rFonts w:asciiTheme="minorHAnsi" w:eastAsia="Times New Roman" w:hAnsiTheme="minorHAnsi" w:cstheme="minorHAnsi"/>
        </w:rPr>
        <w:t xml:space="preserve">in this document </w:t>
      </w:r>
      <w:r w:rsidR="003522DE" w:rsidRPr="000714B3">
        <w:rPr>
          <w:rFonts w:asciiTheme="minorHAnsi" w:eastAsia="Times New Roman" w:hAnsiTheme="minorHAnsi" w:cstheme="minorHAnsi"/>
        </w:rPr>
        <w:t>as “</w:t>
      </w:r>
      <w:r w:rsidR="003522DE" w:rsidRPr="000714B3">
        <w:rPr>
          <w:rFonts w:asciiTheme="minorHAnsi" w:eastAsia="Times New Roman" w:hAnsiTheme="minorHAnsi" w:cstheme="minorHAnsi"/>
          <w:b/>
        </w:rPr>
        <w:t>Personally Identifiable Information</w:t>
      </w:r>
      <w:r w:rsidR="003522DE" w:rsidRPr="000714B3">
        <w:rPr>
          <w:rFonts w:asciiTheme="minorHAnsi" w:eastAsia="Times New Roman" w:hAnsiTheme="minorHAnsi" w:cstheme="minorHAnsi"/>
        </w:rPr>
        <w:t xml:space="preserve">” or </w:t>
      </w:r>
      <w:r w:rsidRPr="000714B3">
        <w:rPr>
          <w:rFonts w:asciiTheme="minorHAnsi" w:eastAsia="Times New Roman" w:hAnsiTheme="minorHAnsi" w:cstheme="minorHAnsi"/>
        </w:rPr>
        <w:t>“</w:t>
      </w:r>
      <w:r w:rsidRPr="000714B3">
        <w:rPr>
          <w:rFonts w:asciiTheme="minorHAnsi" w:eastAsia="Times New Roman" w:hAnsiTheme="minorHAnsi" w:cstheme="minorHAnsi"/>
          <w:b/>
        </w:rPr>
        <w:t>PII</w:t>
      </w:r>
      <w:r w:rsidRPr="000714B3">
        <w:rPr>
          <w:rFonts w:asciiTheme="minorHAnsi" w:eastAsia="Times New Roman" w:hAnsiTheme="minorHAnsi" w:cstheme="minorHAnsi"/>
        </w:rPr>
        <w:t>”)</w:t>
      </w:r>
      <w:r w:rsidR="00811E7A" w:rsidRPr="000714B3">
        <w:rPr>
          <w:rFonts w:asciiTheme="minorHAnsi" w:eastAsia="Times New Roman" w:hAnsiTheme="minorHAnsi" w:cstheme="minorHAnsi"/>
        </w:rPr>
        <w:t>.</w:t>
      </w:r>
      <w:r w:rsidR="00450CBD" w:rsidRPr="000714B3">
        <w:rPr>
          <w:rFonts w:asciiTheme="minorHAnsi" w:eastAsia="Times New Roman" w:hAnsiTheme="minorHAnsi" w:cstheme="minorHAnsi"/>
        </w:rPr>
        <w:t xml:space="preserve"> </w:t>
      </w:r>
      <w:r w:rsidR="00573A4E" w:rsidRPr="000714B3">
        <w:rPr>
          <w:rFonts w:asciiTheme="minorHAnsi" w:eastAsia="Times New Roman" w:hAnsiTheme="minorHAnsi" w:cstheme="minorHAnsi"/>
        </w:rPr>
        <w:t>Data C</w:t>
      </w:r>
      <w:r w:rsidR="00450CBD" w:rsidRPr="000714B3">
        <w:rPr>
          <w:rFonts w:asciiTheme="minorHAnsi" w:eastAsia="Times New Roman" w:hAnsiTheme="minorHAnsi" w:cstheme="minorHAnsi"/>
        </w:rPr>
        <w:t xml:space="preserve">ollectors should assess whether data is PII before collecting </w:t>
      </w:r>
      <w:r w:rsidR="005C1A4E" w:rsidRPr="000714B3">
        <w:rPr>
          <w:rFonts w:asciiTheme="minorHAnsi" w:eastAsia="Times New Roman" w:hAnsiTheme="minorHAnsi" w:cstheme="minorHAnsi"/>
        </w:rPr>
        <w:t xml:space="preserve">it </w:t>
      </w:r>
      <w:r w:rsidR="00450CBD" w:rsidRPr="000714B3">
        <w:rPr>
          <w:rFonts w:asciiTheme="minorHAnsi" w:eastAsia="Times New Roman" w:hAnsiTheme="minorHAnsi" w:cstheme="minorHAnsi"/>
        </w:rPr>
        <w:t xml:space="preserve">from a </w:t>
      </w:r>
      <w:r w:rsidR="00DB0BF4" w:rsidRPr="000714B3">
        <w:rPr>
          <w:rFonts w:asciiTheme="minorHAnsi" w:eastAsia="Times New Roman" w:hAnsiTheme="minorHAnsi" w:cstheme="minorHAnsi"/>
        </w:rPr>
        <w:t>source</w:t>
      </w:r>
      <w:r w:rsidR="00400B51" w:rsidRPr="000714B3">
        <w:rPr>
          <w:rFonts w:asciiTheme="minorHAnsi" w:eastAsia="Times New Roman" w:hAnsiTheme="minorHAnsi" w:cstheme="minorHAnsi"/>
        </w:rPr>
        <w:t xml:space="preserve">. If </w:t>
      </w:r>
      <w:r w:rsidR="005C1A4E" w:rsidRPr="000714B3">
        <w:rPr>
          <w:rFonts w:asciiTheme="minorHAnsi" w:eastAsia="Times New Roman" w:hAnsiTheme="minorHAnsi" w:cstheme="minorHAnsi"/>
        </w:rPr>
        <w:t xml:space="preserve">the data </w:t>
      </w:r>
      <w:r w:rsidR="00932149" w:rsidRPr="000714B3">
        <w:rPr>
          <w:rFonts w:asciiTheme="minorHAnsi" w:eastAsia="Times New Roman" w:hAnsiTheme="minorHAnsi" w:cstheme="minorHAnsi"/>
        </w:rPr>
        <w:t xml:space="preserve">includes </w:t>
      </w:r>
      <w:r w:rsidR="00400B51" w:rsidRPr="000714B3">
        <w:rPr>
          <w:rFonts w:asciiTheme="minorHAnsi" w:eastAsia="Times New Roman" w:hAnsiTheme="minorHAnsi" w:cstheme="minorHAnsi"/>
        </w:rPr>
        <w:t>PII, then</w:t>
      </w:r>
      <w:r w:rsidR="00C7732B" w:rsidRPr="000714B3">
        <w:rPr>
          <w:rFonts w:asciiTheme="minorHAnsi" w:eastAsia="Times New Roman" w:hAnsiTheme="minorHAnsi" w:cstheme="minorHAnsi"/>
        </w:rPr>
        <w:t xml:space="preserve"> collecting, storing,</w:t>
      </w:r>
      <w:r w:rsidR="00400B51" w:rsidRPr="000714B3">
        <w:rPr>
          <w:rFonts w:asciiTheme="minorHAnsi" w:eastAsia="Times New Roman" w:hAnsiTheme="minorHAnsi" w:cstheme="minorHAnsi"/>
        </w:rPr>
        <w:t xml:space="preserve"> analyzing</w:t>
      </w:r>
      <w:r w:rsidR="00C7732B" w:rsidRPr="000714B3">
        <w:rPr>
          <w:rFonts w:asciiTheme="minorHAnsi" w:eastAsia="Times New Roman" w:hAnsiTheme="minorHAnsi" w:cstheme="minorHAnsi"/>
        </w:rPr>
        <w:t>,</w:t>
      </w:r>
      <w:r w:rsidR="00400B51" w:rsidRPr="000714B3">
        <w:rPr>
          <w:rFonts w:asciiTheme="minorHAnsi" w:eastAsia="Times New Roman" w:hAnsiTheme="minorHAnsi" w:cstheme="minorHAnsi"/>
        </w:rPr>
        <w:t xml:space="preserve"> </w:t>
      </w:r>
      <w:r w:rsidR="00362620" w:rsidRPr="000714B3">
        <w:rPr>
          <w:rFonts w:asciiTheme="minorHAnsi" w:eastAsia="Times New Roman" w:hAnsiTheme="minorHAnsi" w:cstheme="minorHAnsi"/>
        </w:rPr>
        <w:t xml:space="preserve">or otherwise processing that </w:t>
      </w:r>
      <w:r w:rsidR="00400B51" w:rsidRPr="000714B3">
        <w:rPr>
          <w:rFonts w:asciiTheme="minorHAnsi" w:eastAsia="Times New Roman" w:hAnsiTheme="minorHAnsi" w:cstheme="minorHAnsi"/>
        </w:rPr>
        <w:t xml:space="preserve">data </w:t>
      </w:r>
      <w:r w:rsidR="00932149" w:rsidRPr="000714B3">
        <w:rPr>
          <w:rFonts w:asciiTheme="minorHAnsi" w:eastAsia="Times New Roman" w:hAnsiTheme="minorHAnsi" w:cstheme="minorHAnsi"/>
        </w:rPr>
        <w:t>may be restricted or subject to certain requirements under Privacy Law</w:t>
      </w:r>
      <w:r w:rsidR="00362620" w:rsidRPr="000714B3">
        <w:rPr>
          <w:rFonts w:asciiTheme="minorHAnsi" w:eastAsia="Times New Roman" w:hAnsiTheme="minorHAnsi" w:cstheme="minorHAnsi"/>
        </w:rPr>
        <w:t>s</w:t>
      </w:r>
      <w:r w:rsidR="00932149" w:rsidRPr="000714B3">
        <w:rPr>
          <w:rFonts w:asciiTheme="minorHAnsi" w:eastAsia="Times New Roman" w:hAnsiTheme="minorHAnsi" w:cstheme="minorHAnsi"/>
        </w:rPr>
        <w:t>.</w:t>
      </w:r>
    </w:p>
    <w:p w14:paraId="362D82FB" w14:textId="0D773F97" w:rsidR="002F529D" w:rsidRPr="000714B3" w:rsidRDefault="0094037F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Whether data constitutes PII </w:t>
      </w:r>
      <w:r w:rsidR="00E45365" w:rsidRPr="000714B3">
        <w:rPr>
          <w:rFonts w:asciiTheme="minorHAnsi" w:eastAsia="Times New Roman" w:hAnsiTheme="minorHAnsi" w:cstheme="minorHAnsi"/>
        </w:rPr>
        <w:t xml:space="preserve">is </w:t>
      </w:r>
      <w:r w:rsidRPr="000714B3">
        <w:rPr>
          <w:rFonts w:asciiTheme="minorHAnsi" w:eastAsia="Times New Roman" w:hAnsiTheme="minorHAnsi" w:cstheme="minorHAnsi"/>
        </w:rPr>
        <w:t xml:space="preserve">often a fact-based analysis </w:t>
      </w:r>
      <w:r w:rsidR="00E36436" w:rsidRPr="000714B3">
        <w:rPr>
          <w:rFonts w:asciiTheme="minorHAnsi" w:eastAsia="Times New Roman" w:hAnsiTheme="minorHAnsi" w:cstheme="minorHAnsi"/>
        </w:rPr>
        <w:t xml:space="preserve">and may require advice from counsel with expertise under applicable Privacy Laws. </w:t>
      </w:r>
      <w:proofErr w:type="gramStart"/>
      <w:r w:rsidR="00E36436" w:rsidRPr="000714B3">
        <w:rPr>
          <w:rFonts w:asciiTheme="minorHAnsi" w:eastAsia="Times New Roman" w:hAnsiTheme="minorHAnsi" w:cstheme="minorHAnsi"/>
        </w:rPr>
        <w:t>However</w:t>
      </w:r>
      <w:proofErr w:type="gramEnd"/>
      <w:r w:rsidR="00E36436" w:rsidRPr="000714B3">
        <w:rPr>
          <w:rFonts w:asciiTheme="minorHAnsi" w:eastAsia="Times New Roman" w:hAnsiTheme="minorHAnsi" w:cstheme="minorHAnsi"/>
        </w:rPr>
        <w:t xml:space="preserve"> for a preliminary indication, below are </w:t>
      </w:r>
      <w:r w:rsidR="00932149" w:rsidRPr="000714B3">
        <w:rPr>
          <w:rFonts w:asciiTheme="minorHAnsi" w:eastAsia="Times New Roman" w:hAnsiTheme="minorHAnsi" w:cstheme="minorHAnsi"/>
        </w:rPr>
        <w:t>common types of data</w:t>
      </w:r>
      <w:r w:rsidR="003134CD" w:rsidRPr="000714B3">
        <w:rPr>
          <w:rFonts w:asciiTheme="minorHAnsi" w:eastAsia="Times New Roman" w:hAnsiTheme="minorHAnsi" w:cstheme="minorHAnsi"/>
        </w:rPr>
        <w:t xml:space="preserve"> that may be available on public-facing websites</w:t>
      </w:r>
      <w:r w:rsidR="00932149" w:rsidRPr="000714B3">
        <w:rPr>
          <w:rFonts w:asciiTheme="minorHAnsi" w:eastAsia="Times New Roman" w:hAnsiTheme="minorHAnsi" w:cstheme="minorHAnsi"/>
        </w:rPr>
        <w:t xml:space="preserve"> and their likely classification</w:t>
      </w:r>
      <w:r w:rsidR="003134CD" w:rsidRPr="000714B3">
        <w:rPr>
          <w:rFonts w:asciiTheme="minorHAnsi" w:eastAsia="Times New Roman" w:hAnsiTheme="minorHAnsi" w:cstheme="minorHAnsi"/>
        </w:rPr>
        <w:t>s</w:t>
      </w:r>
      <w:r w:rsidR="00932149" w:rsidRPr="000714B3">
        <w:rPr>
          <w:rFonts w:asciiTheme="minorHAnsi" w:eastAsia="Times New Roman" w:hAnsiTheme="minorHAnsi" w:cstheme="minorHAnsi"/>
        </w:rPr>
        <w:t xml:space="preserve"> under Privacy Law</w:t>
      </w:r>
      <w:r w:rsidR="00362620" w:rsidRPr="000714B3">
        <w:rPr>
          <w:rFonts w:asciiTheme="minorHAnsi" w:eastAsia="Times New Roman" w:hAnsiTheme="minorHAnsi" w:cstheme="minorHAnsi"/>
        </w:rPr>
        <w:t>s</w:t>
      </w:r>
      <w:r w:rsidR="00E36436" w:rsidRPr="000714B3">
        <w:rPr>
          <w:rFonts w:asciiTheme="minorHAnsi" w:eastAsia="Times New Roman" w:hAnsiTheme="minorHAnsi" w:cstheme="minorHAnsi"/>
        </w:rPr>
        <w:t>.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695"/>
        <w:gridCol w:w="3150"/>
        <w:gridCol w:w="4253"/>
      </w:tblGrid>
      <w:tr w:rsidR="00E36436" w:rsidRPr="000714B3" w14:paraId="7E8223AF" w14:textId="77777777" w:rsidTr="003A5F69">
        <w:tc>
          <w:tcPr>
            <w:tcW w:w="2695" w:type="dxa"/>
          </w:tcPr>
          <w:p w14:paraId="53F580E2" w14:textId="77777777" w:rsidR="00E36436" w:rsidRPr="000714B3" w:rsidRDefault="00E36436" w:rsidP="00CA3ECB">
            <w:pPr>
              <w:spacing w:before="80" w:after="80"/>
              <w:jc w:val="center"/>
              <w:rPr>
                <w:rFonts w:asciiTheme="minorHAnsi" w:hAnsiTheme="minorHAnsi" w:cstheme="minorHAnsi"/>
                <w:b/>
              </w:rPr>
            </w:pPr>
            <w:r w:rsidRPr="000714B3">
              <w:rPr>
                <w:rFonts w:asciiTheme="minorHAnsi" w:hAnsiTheme="minorHAnsi" w:cstheme="minorHAnsi"/>
                <w:b/>
              </w:rPr>
              <w:t>Often PII</w:t>
            </w:r>
          </w:p>
        </w:tc>
        <w:tc>
          <w:tcPr>
            <w:tcW w:w="3150" w:type="dxa"/>
          </w:tcPr>
          <w:p w14:paraId="0C5E50E5" w14:textId="1B6C4552" w:rsidR="00E36436" w:rsidRPr="000714B3" w:rsidRDefault="00E36436" w:rsidP="00CA3ECB">
            <w:pPr>
              <w:spacing w:before="80" w:after="80"/>
              <w:jc w:val="center"/>
              <w:rPr>
                <w:rFonts w:asciiTheme="minorHAnsi" w:hAnsiTheme="minorHAnsi" w:cstheme="minorHAnsi"/>
                <w:b/>
              </w:rPr>
            </w:pPr>
            <w:r w:rsidRPr="000714B3">
              <w:rPr>
                <w:rFonts w:asciiTheme="minorHAnsi" w:hAnsiTheme="minorHAnsi" w:cstheme="minorHAnsi"/>
                <w:b/>
              </w:rPr>
              <w:t>PII</w:t>
            </w:r>
            <w:r w:rsidR="009866DA" w:rsidRPr="000714B3">
              <w:rPr>
                <w:rFonts w:asciiTheme="minorHAnsi" w:hAnsiTheme="minorHAnsi" w:cstheme="minorHAnsi"/>
                <w:b/>
              </w:rPr>
              <w:t xml:space="preserve"> u</w:t>
            </w:r>
            <w:r w:rsidR="001D6AAC" w:rsidRPr="000714B3">
              <w:rPr>
                <w:rFonts w:asciiTheme="minorHAnsi" w:hAnsiTheme="minorHAnsi" w:cstheme="minorHAnsi"/>
                <w:b/>
              </w:rPr>
              <w:t>nless Anonymized</w:t>
            </w:r>
            <w:r w:rsidRPr="000714B3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53" w:type="dxa"/>
          </w:tcPr>
          <w:p w14:paraId="19521F29" w14:textId="77777777" w:rsidR="00E36436" w:rsidRPr="000714B3" w:rsidRDefault="00E36436" w:rsidP="00CA3ECB">
            <w:pPr>
              <w:spacing w:before="80" w:after="80"/>
              <w:jc w:val="center"/>
              <w:rPr>
                <w:rFonts w:asciiTheme="minorHAnsi" w:hAnsiTheme="minorHAnsi" w:cstheme="minorHAnsi"/>
                <w:b/>
              </w:rPr>
            </w:pPr>
            <w:r w:rsidRPr="000714B3">
              <w:rPr>
                <w:rFonts w:asciiTheme="minorHAnsi" w:hAnsiTheme="minorHAnsi" w:cstheme="minorHAnsi"/>
                <w:b/>
              </w:rPr>
              <w:t>Usually not PII</w:t>
            </w:r>
          </w:p>
        </w:tc>
      </w:tr>
      <w:tr w:rsidR="00C7732B" w:rsidRPr="000714B3" w14:paraId="12F3AC1C" w14:textId="77777777" w:rsidTr="003A5F69">
        <w:tc>
          <w:tcPr>
            <w:tcW w:w="2695" w:type="dxa"/>
          </w:tcPr>
          <w:p w14:paraId="619FEED4" w14:textId="77777777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Names</w:t>
            </w:r>
          </w:p>
        </w:tc>
        <w:tc>
          <w:tcPr>
            <w:tcW w:w="3150" w:type="dxa"/>
          </w:tcPr>
          <w:p w14:paraId="4F9A1767" w14:textId="4F540A8D" w:rsidR="00C7732B" w:rsidRPr="000714B3" w:rsidRDefault="00EB42D6" w:rsidP="00EB42D6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Limited g</w:t>
            </w:r>
            <w:r w:rsidR="00C7732B" w:rsidRPr="000714B3">
              <w:rPr>
                <w:rFonts w:asciiTheme="minorHAnsi" w:hAnsiTheme="minorHAnsi" w:cstheme="minorHAnsi"/>
              </w:rPr>
              <w:t>eolocation data</w:t>
            </w:r>
          </w:p>
        </w:tc>
        <w:tc>
          <w:tcPr>
            <w:tcW w:w="4253" w:type="dxa"/>
          </w:tcPr>
          <w:p w14:paraId="6580A2D5" w14:textId="1A39E0F8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Economic statistics</w:t>
            </w:r>
          </w:p>
        </w:tc>
      </w:tr>
      <w:tr w:rsidR="00C7732B" w:rsidRPr="000714B3" w14:paraId="555986E2" w14:textId="77777777" w:rsidTr="003A5F69">
        <w:tc>
          <w:tcPr>
            <w:tcW w:w="2695" w:type="dxa"/>
          </w:tcPr>
          <w:p w14:paraId="291E62C6" w14:textId="6BEBB894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Phone numbers</w:t>
            </w:r>
          </w:p>
        </w:tc>
        <w:tc>
          <w:tcPr>
            <w:tcW w:w="3150" w:type="dxa"/>
          </w:tcPr>
          <w:p w14:paraId="0DC00D0A" w14:textId="7868E89E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Transaction data</w:t>
            </w:r>
          </w:p>
        </w:tc>
        <w:tc>
          <w:tcPr>
            <w:tcW w:w="4253" w:type="dxa"/>
          </w:tcPr>
          <w:p w14:paraId="1BC0FA92" w14:textId="3468667C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Prices for financial instruments</w:t>
            </w:r>
          </w:p>
        </w:tc>
      </w:tr>
      <w:tr w:rsidR="00C7732B" w:rsidRPr="000714B3" w14:paraId="687B8BDE" w14:textId="77777777" w:rsidTr="003A5F69">
        <w:tc>
          <w:tcPr>
            <w:tcW w:w="2695" w:type="dxa"/>
          </w:tcPr>
          <w:p w14:paraId="66986FC1" w14:textId="7D248BCF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Mailing addresses</w:t>
            </w:r>
          </w:p>
        </w:tc>
        <w:tc>
          <w:tcPr>
            <w:tcW w:w="3150" w:type="dxa"/>
          </w:tcPr>
          <w:p w14:paraId="01042F49" w14:textId="7AEBC007" w:rsidR="00C7732B" w:rsidRPr="000714B3" w:rsidRDefault="00C7732B" w:rsidP="009866DA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 xml:space="preserve">Survey </w:t>
            </w:r>
            <w:r w:rsidR="009866DA" w:rsidRPr="000714B3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4253" w:type="dxa"/>
          </w:tcPr>
          <w:p w14:paraId="1896B3C7" w14:textId="76254A73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Production quantities</w:t>
            </w:r>
          </w:p>
        </w:tc>
      </w:tr>
      <w:tr w:rsidR="00C7732B" w:rsidRPr="000714B3" w14:paraId="498A4848" w14:textId="77777777" w:rsidTr="003A5F69">
        <w:tc>
          <w:tcPr>
            <w:tcW w:w="2695" w:type="dxa"/>
          </w:tcPr>
          <w:p w14:paraId="66B1C04A" w14:textId="28E4324E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lastRenderedPageBreak/>
              <w:t>Email addresses</w:t>
            </w:r>
          </w:p>
        </w:tc>
        <w:tc>
          <w:tcPr>
            <w:tcW w:w="3150" w:type="dxa"/>
          </w:tcPr>
          <w:p w14:paraId="4C2AC9F9" w14:textId="62DEED9B" w:rsidR="00C7732B" w:rsidRPr="000714B3" w:rsidRDefault="00C7732B" w:rsidP="009866DA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 xml:space="preserve">Search </w:t>
            </w:r>
            <w:r w:rsidR="009866DA" w:rsidRPr="000714B3">
              <w:rPr>
                <w:rFonts w:asciiTheme="minorHAnsi" w:hAnsiTheme="minorHAnsi" w:cstheme="minorHAnsi"/>
              </w:rPr>
              <w:t>queries</w:t>
            </w:r>
          </w:p>
        </w:tc>
        <w:tc>
          <w:tcPr>
            <w:tcW w:w="4253" w:type="dxa"/>
          </w:tcPr>
          <w:p w14:paraId="20932F4C" w14:textId="33091563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Trading volumes</w:t>
            </w:r>
          </w:p>
        </w:tc>
      </w:tr>
      <w:tr w:rsidR="00C7732B" w:rsidRPr="000714B3" w14:paraId="0E028E5E" w14:textId="77777777" w:rsidTr="003A5F69">
        <w:tc>
          <w:tcPr>
            <w:tcW w:w="2695" w:type="dxa"/>
          </w:tcPr>
          <w:p w14:paraId="5903CB8B" w14:textId="694D7AAC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Social media posts and profiles</w:t>
            </w:r>
          </w:p>
        </w:tc>
        <w:tc>
          <w:tcPr>
            <w:tcW w:w="3150" w:type="dxa"/>
          </w:tcPr>
          <w:p w14:paraId="01A48817" w14:textId="1261A422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</w:p>
        </w:tc>
        <w:tc>
          <w:tcPr>
            <w:tcW w:w="4253" w:type="dxa"/>
          </w:tcPr>
          <w:p w14:paraId="20057FBF" w14:textId="5971D2C8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Aggregated data (including aggregated transaction, survey, search, or geolocation data)</w:t>
            </w:r>
          </w:p>
        </w:tc>
      </w:tr>
      <w:tr w:rsidR="00C7732B" w:rsidRPr="000714B3" w14:paraId="2197A3F3" w14:textId="77777777" w:rsidTr="003A5F69">
        <w:tc>
          <w:tcPr>
            <w:tcW w:w="2695" w:type="dxa"/>
          </w:tcPr>
          <w:p w14:paraId="131C722C" w14:textId="5C67FE3C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Images of individuals</w:t>
            </w:r>
          </w:p>
        </w:tc>
        <w:tc>
          <w:tcPr>
            <w:tcW w:w="3150" w:type="dxa"/>
          </w:tcPr>
          <w:p w14:paraId="4554BECA" w14:textId="77777777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</w:p>
        </w:tc>
        <w:tc>
          <w:tcPr>
            <w:tcW w:w="4253" w:type="dxa"/>
          </w:tcPr>
          <w:p w14:paraId="5F282170" w14:textId="0F483BED" w:rsidR="00C7732B" w:rsidRPr="000714B3" w:rsidRDefault="00C7732B" w:rsidP="00C7732B">
            <w:pPr>
              <w:spacing w:before="80" w:after="80"/>
              <w:rPr>
                <w:rFonts w:asciiTheme="minorHAnsi" w:hAnsiTheme="minorHAnsi" w:cstheme="minorHAnsi"/>
              </w:rPr>
            </w:pPr>
            <w:r w:rsidRPr="000714B3">
              <w:rPr>
                <w:rFonts w:asciiTheme="minorHAnsi" w:hAnsiTheme="minorHAnsi" w:cstheme="minorHAnsi"/>
              </w:rPr>
              <w:t>Corporate financial information</w:t>
            </w:r>
          </w:p>
        </w:tc>
      </w:tr>
    </w:tbl>
    <w:p w14:paraId="153A0447" w14:textId="41F65AEC" w:rsidR="0030602D" w:rsidRPr="000714B3" w:rsidRDefault="004852F4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jc w:val="both"/>
        <w:rPr>
          <w:rFonts w:asciiTheme="minorHAnsi" w:eastAsia="Times New Roman" w:hAnsiTheme="minorHAnsi" w:cstheme="minorHAnsi"/>
          <w:b/>
          <w:bCs/>
        </w:rPr>
      </w:pPr>
      <w:r w:rsidRPr="000714B3">
        <w:rPr>
          <w:rFonts w:asciiTheme="minorHAnsi" w:eastAsia="Times New Roman" w:hAnsiTheme="minorHAnsi" w:cstheme="minorHAnsi"/>
          <w:b/>
          <w:bCs/>
        </w:rPr>
        <w:t xml:space="preserve">Anonymized </w:t>
      </w:r>
      <w:r w:rsidR="00021ED3" w:rsidRPr="000714B3">
        <w:rPr>
          <w:rFonts w:asciiTheme="minorHAnsi" w:eastAsia="Times New Roman" w:hAnsiTheme="minorHAnsi" w:cstheme="minorHAnsi"/>
          <w:b/>
          <w:bCs/>
        </w:rPr>
        <w:t>Data</w:t>
      </w:r>
    </w:p>
    <w:p w14:paraId="68586111" w14:textId="0C73A9F8" w:rsidR="00021ED3" w:rsidRPr="000714B3" w:rsidRDefault="0095148E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jc w:val="both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Processing a dataset </w:t>
      </w:r>
      <w:r w:rsidR="006B3651" w:rsidRPr="000714B3">
        <w:rPr>
          <w:rFonts w:asciiTheme="minorHAnsi" w:eastAsia="Times New Roman" w:hAnsiTheme="minorHAnsi" w:cstheme="minorHAnsi"/>
        </w:rPr>
        <w:t xml:space="preserve">to remove </w:t>
      </w:r>
      <w:r w:rsidRPr="000714B3">
        <w:rPr>
          <w:rFonts w:asciiTheme="minorHAnsi" w:eastAsia="Times New Roman" w:hAnsiTheme="minorHAnsi" w:cstheme="minorHAnsi"/>
        </w:rPr>
        <w:t xml:space="preserve">identifying information is called </w:t>
      </w:r>
      <w:r w:rsidR="00DA5985" w:rsidRPr="000714B3">
        <w:rPr>
          <w:rFonts w:asciiTheme="minorHAnsi" w:eastAsia="Times New Roman" w:hAnsiTheme="minorHAnsi" w:cstheme="minorHAnsi"/>
        </w:rPr>
        <w:t>“</w:t>
      </w:r>
      <w:r w:rsidR="005337B2" w:rsidRPr="000714B3">
        <w:rPr>
          <w:rFonts w:asciiTheme="minorHAnsi" w:eastAsia="Times New Roman" w:hAnsiTheme="minorHAnsi" w:cstheme="minorHAnsi"/>
        </w:rPr>
        <w:t>anonymization</w:t>
      </w:r>
      <w:r w:rsidRPr="000714B3">
        <w:rPr>
          <w:rFonts w:asciiTheme="minorHAnsi" w:eastAsia="Times New Roman" w:hAnsiTheme="minorHAnsi" w:cstheme="minorHAnsi"/>
        </w:rPr>
        <w:t>.</w:t>
      </w:r>
      <w:r w:rsidR="00DA5985" w:rsidRPr="000714B3">
        <w:rPr>
          <w:rFonts w:asciiTheme="minorHAnsi" w:eastAsia="Times New Roman" w:hAnsiTheme="minorHAnsi" w:cstheme="minorHAnsi"/>
        </w:rPr>
        <w:t>”</w:t>
      </w:r>
      <w:r w:rsidRPr="000714B3">
        <w:rPr>
          <w:rFonts w:asciiTheme="minorHAnsi" w:eastAsia="Times New Roman" w:hAnsiTheme="minorHAnsi" w:cstheme="minorHAnsi"/>
        </w:rPr>
        <w:t xml:space="preserve"> </w:t>
      </w:r>
      <w:r w:rsidR="000F2099" w:rsidRPr="000714B3">
        <w:rPr>
          <w:rFonts w:asciiTheme="minorHAnsi" w:eastAsia="Times New Roman" w:hAnsiTheme="minorHAnsi" w:cstheme="minorHAnsi"/>
        </w:rPr>
        <w:t xml:space="preserve">Data that is properly anonymized </w:t>
      </w:r>
      <w:r w:rsidRPr="000714B3">
        <w:rPr>
          <w:rFonts w:asciiTheme="minorHAnsi" w:eastAsia="Times New Roman" w:hAnsiTheme="minorHAnsi" w:cstheme="minorHAnsi"/>
        </w:rPr>
        <w:t>does not constitute PII</w:t>
      </w:r>
      <w:r w:rsidR="00EB42D6" w:rsidRPr="000714B3">
        <w:rPr>
          <w:rFonts w:asciiTheme="minorHAnsi" w:eastAsia="Times New Roman" w:hAnsiTheme="minorHAnsi" w:cstheme="minorHAnsi"/>
        </w:rPr>
        <w:t xml:space="preserve"> and is therefore </w:t>
      </w:r>
      <w:r w:rsidR="00E33719" w:rsidRPr="000714B3">
        <w:rPr>
          <w:rFonts w:asciiTheme="minorHAnsi" w:eastAsia="Times New Roman" w:hAnsiTheme="minorHAnsi" w:cstheme="minorHAnsi"/>
        </w:rPr>
        <w:t xml:space="preserve">generally not </w:t>
      </w:r>
      <w:r w:rsidR="00EB42D6" w:rsidRPr="000714B3">
        <w:rPr>
          <w:rFonts w:asciiTheme="minorHAnsi" w:eastAsia="Times New Roman" w:hAnsiTheme="minorHAnsi" w:cstheme="minorHAnsi"/>
        </w:rPr>
        <w:t xml:space="preserve">subject to </w:t>
      </w:r>
      <w:r w:rsidR="00E33719" w:rsidRPr="000714B3">
        <w:rPr>
          <w:rFonts w:asciiTheme="minorHAnsi" w:eastAsia="Times New Roman" w:hAnsiTheme="minorHAnsi" w:cstheme="minorHAnsi"/>
        </w:rPr>
        <w:t xml:space="preserve">restrictions under </w:t>
      </w:r>
      <w:r w:rsidR="00EB42D6" w:rsidRPr="000714B3">
        <w:rPr>
          <w:rFonts w:asciiTheme="minorHAnsi" w:eastAsia="Times New Roman" w:hAnsiTheme="minorHAnsi" w:cstheme="minorHAnsi"/>
        </w:rPr>
        <w:t>Privacy Laws</w:t>
      </w:r>
      <w:r w:rsidR="00AB1793" w:rsidRPr="000714B3">
        <w:rPr>
          <w:rFonts w:asciiTheme="minorHAnsi" w:eastAsia="Times New Roman" w:hAnsiTheme="minorHAnsi" w:cstheme="minorHAnsi"/>
        </w:rPr>
        <w:t xml:space="preserve">. However, efforts to </w:t>
      </w:r>
      <w:r w:rsidR="005337B2" w:rsidRPr="000714B3">
        <w:rPr>
          <w:rFonts w:asciiTheme="minorHAnsi" w:eastAsia="Times New Roman" w:hAnsiTheme="minorHAnsi" w:cstheme="minorHAnsi"/>
        </w:rPr>
        <w:t>anonymize</w:t>
      </w:r>
      <w:r w:rsidR="00AB1793" w:rsidRPr="000714B3">
        <w:rPr>
          <w:rFonts w:asciiTheme="minorHAnsi" w:eastAsia="Times New Roman" w:hAnsiTheme="minorHAnsi" w:cstheme="minorHAnsi"/>
        </w:rPr>
        <w:t xml:space="preserve"> data may be incomplete or imperfect, and may not be effective in excluding a dataset from the </w:t>
      </w:r>
      <w:r w:rsidR="00EB42D6" w:rsidRPr="000714B3">
        <w:rPr>
          <w:rFonts w:asciiTheme="minorHAnsi" w:eastAsia="Times New Roman" w:hAnsiTheme="minorHAnsi" w:cstheme="minorHAnsi"/>
        </w:rPr>
        <w:t xml:space="preserve">reach </w:t>
      </w:r>
      <w:r w:rsidR="00AB1793" w:rsidRPr="000714B3">
        <w:rPr>
          <w:rFonts w:asciiTheme="minorHAnsi" w:eastAsia="Times New Roman" w:hAnsiTheme="minorHAnsi" w:cstheme="minorHAnsi"/>
        </w:rPr>
        <w:t xml:space="preserve">of Privacy Laws. </w:t>
      </w:r>
      <w:r w:rsidR="00C76BA4" w:rsidRPr="000714B3">
        <w:rPr>
          <w:rFonts w:asciiTheme="minorHAnsi" w:eastAsia="Times New Roman" w:hAnsiTheme="minorHAnsi" w:cstheme="minorHAnsi"/>
        </w:rPr>
        <w:t xml:space="preserve">For example, </w:t>
      </w:r>
      <w:r w:rsidR="004B1B62" w:rsidRPr="000714B3">
        <w:rPr>
          <w:rFonts w:asciiTheme="minorHAnsi" w:eastAsia="Times New Roman" w:hAnsiTheme="minorHAnsi" w:cstheme="minorHAnsi"/>
        </w:rPr>
        <w:t>de-identified</w:t>
      </w:r>
      <w:r w:rsidR="00C76BA4" w:rsidRPr="000714B3">
        <w:rPr>
          <w:rFonts w:asciiTheme="minorHAnsi" w:eastAsia="Times New Roman" w:hAnsiTheme="minorHAnsi" w:cstheme="minorHAnsi"/>
        </w:rPr>
        <w:t xml:space="preserve"> geolocation data may show that an individual </w:t>
      </w:r>
      <w:r w:rsidR="0036509D" w:rsidRPr="000714B3">
        <w:rPr>
          <w:rFonts w:asciiTheme="minorHAnsi" w:eastAsia="Times New Roman" w:hAnsiTheme="minorHAnsi" w:cstheme="minorHAnsi"/>
        </w:rPr>
        <w:t xml:space="preserve">spends </w:t>
      </w:r>
      <w:r w:rsidR="00C76BA4" w:rsidRPr="000714B3">
        <w:rPr>
          <w:rFonts w:asciiTheme="minorHAnsi" w:eastAsia="Times New Roman" w:hAnsiTheme="minorHAnsi" w:cstheme="minorHAnsi"/>
        </w:rPr>
        <w:t xml:space="preserve">most nights at a certain address, which would allow a recipient of the data to discern the individual’s </w:t>
      </w:r>
      <w:r w:rsidR="0036509D" w:rsidRPr="000714B3">
        <w:rPr>
          <w:rFonts w:asciiTheme="minorHAnsi" w:eastAsia="Times New Roman" w:hAnsiTheme="minorHAnsi" w:cstheme="minorHAnsi"/>
        </w:rPr>
        <w:t xml:space="preserve">home </w:t>
      </w:r>
      <w:r w:rsidR="00C76BA4" w:rsidRPr="000714B3">
        <w:rPr>
          <w:rFonts w:asciiTheme="minorHAnsi" w:eastAsia="Times New Roman" w:hAnsiTheme="minorHAnsi" w:cstheme="minorHAnsi"/>
        </w:rPr>
        <w:t xml:space="preserve">address. </w:t>
      </w:r>
      <w:r w:rsidR="00573A4E" w:rsidRPr="000714B3">
        <w:rPr>
          <w:rFonts w:asciiTheme="minorHAnsi" w:eastAsia="Times New Roman" w:hAnsiTheme="minorHAnsi" w:cstheme="minorHAnsi"/>
        </w:rPr>
        <w:t xml:space="preserve">Data Collectors </w:t>
      </w:r>
      <w:r w:rsidR="00AB1793" w:rsidRPr="000714B3">
        <w:rPr>
          <w:rFonts w:asciiTheme="minorHAnsi" w:eastAsia="Times New Roman" w:hAnsiTheme="minorHAnsi" w:cstheme="minorHAnsi"/>
        </w:rPr>
        <w:t>should consult with counsel and</w:t>
      </w:r>
      <w:r w:rsidR="003C2307" w:rsidRPr="000714B3">
        <w:rPr>
          <w:rFonts w:asciiTheme="minorHAnsi" w:eastAsia="Times New Roman" w:hAnsiTheme="minorHAnsi" w:cstheme="minorHAnsi"/>
        </w:rPr>
        <w:t xml:space="preserve"> potentially data scientists to determine whether purportedly </w:t>
      </w:r>
      <w:r w:rsidR="005337B2" w:rsidRPr="000714B3">
        <w:rPr>
          <w:rFonts w:asciiTheme="minorHAnsi" w:eastAsia="Times New Roman" w:hAnsiTheme="minorHAnsi" w:cstheme="minorHAnsi"/>
        </w:rPr>
        <w:t>anonymized</w:t>
      </w:r>
      <w:r w:rsidR="003C2307" w:rsidRPr="000714B3">
        <w:rPr>
          <w:rFonts w:asciiTheme="minorHAnsi" w:eastAsia="Times New Roman" w:hAnsiTheme="minorHAnsi" w:cstheme="minorHAnsi"/>
        </w:rPr>
        <w:t xml:space="preserve"> data still constitutes PII</w:t>
      </w:r>
      <w:r w:rsidR="0085145A" w:rsidRPr="000714B3">
        <w:rPr>
          <w:rFonts w:asciiTheme="minorHAnsi" w:eastAsia="Times New Roman" w:hAnsiTheme="minorHAnsi" w:cstheme="minorHAnsi"/>
        </w:rPr>
        <w:t xml:space="preserve">.  </w:t>
      </w:r>
      <w:r w:rsidR="004454E8" w:rsidRPr="000714B3">
        <w:rPr>
          <w:rFonts w:asciiTheme="minorHAnsi" w:eastAsia="Times New Roman" w:hAnsiTheme="minorHAnsi" w:cstheme="minorHAnsi"/>
        </w:rPr>
        <w:t xml:space="preserve"> </w:t>
      </w:r>
    </w:p>
    <w:p w14:paraId="6E13076F" w14:textId="6C0E036C" w:rsidR="0030602D" w:rsidRPr="000714B3" w:rsidRDefault="00021ED3" w:rsidP="00485370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jc w:val="both"/>
        <w:rPr>
          <w:rFonts w:asciiTheme="minorHAnsi" w:eastAsia="Times New Roman" w:hAnsiTheme="minorHAnsi" w:cstheme="minorHAnsi"/>
          <w:b/>
          <w:bCs/>
        </w:rPr>
      </w:pPr>
      <w:r w:rsidRPr="000714B3">
        <w:rPr>
          <w:rFonts w:asciiTheme="minorHAnsi" w:eastAsia="Times New Roman" w:hAnsiTheme="minorHAnsi" w:cstheme="minorHAnsi"/>
          <w:b/>
          <w:bCs/>
        </w:rPr>
        <w:t>Scraping</w:t>
      </w:r>
      <w:r w:rsidR="00E13519" w:rsidRPr="000714B3">
        <w:rPr>
          <w:rFonts w:asciiTheme="minorHAnsi" w:eastAsia="Times New Roman" w:hAnsiTheme="minorHAnsi" w:cstheme="minorHAnsi"/>
          <w:b/>
          <w:bCs/>
        </w:rPr>
        <w:t xml:space="preserve"> and p</w:t>
      </w:r>
      <w:r w:rsidR="00DF7436" w:rsidRPr="000714B3">
        <w:rPr>
          <w:rFonts w:asciiTheme="minorHAnsi" w:eastAsia="Times New Roman" w:hAnsiTheme="minorHAnsi" w:cstheme="minorHAnsi"/>
          <w:b/>
          <w:bCs/>
        </w:rPr>
        <w:t>rocessing PII</w:t>
      </w:r>
    </w:p>
    <w:p w14:paraId="2CE1417F" w14:textId="272A5338" w:rsidR="004F339F" w:rsidRPr="000714B3" w:rsidRDefault="00A02417" w:rsidP="00A679B4">
      <w:pPr>
        <w:pStyle w:val="ListParagraph"/>
        <w:autoSpaceDE w:val="0"/>
        <w:autoSpaceDN w:val="0"/>
        <w:adjustRightInd w:val="0"/>
        <w:spacing w:before="220" w:after="220"/>
        <w:ind w:left="0"/>
        <w:contextualSpacing w:val="0"/>
        <w:jc w:val="both"/>
        <w:rPr>
          <w:rFonts w:asciiTheme="minorHAnsi" w:eastAsia="Times New Roman" w:hAnsiTheme="minorHAnsi" w:cstheme="minorHAnsi"/>
          <w:bCs/>
        </w:rPr>
      </w:pPr>
      <w:r w:rsidRPr="000714B3">
        <w:rPr>
          <w:rFonts w:asciiTheme="minorHAnsi" w:eastAsia="Times New Roman" w:hAnsiTheme="minorHAnsi" w:cstheme="minorHAnsi"/>
          <w:bCs/>
        </w:rPr>
        <w:t xml:space="preserve">If a Data Collector </w:t>
      </w:r>
      <w:r w:rsidR="00E13519" w:rsidRPr="000714B3">
        <w:rPr>
          <w:rFonts w:asciiTheme="minorHAnsi" w:eastAsia="Times New Roman" w:hAnsiTheme="minorHAnsi" w:cstheme="minorHAnsi"/>
          <w:bCs/>
        </w:rPr>
        <w:t>is considering whether</w:t>
      </w:r>
      <w:r w:rsidRPr="000714B3">
        <w:rPr>
          <w:rFonts w:asciiTheme="minorHAnsi" w:eastAsia="Times New Roman" w:hAnsiTheme="minorHAnsi" w:cstheme="minorHAnsi"/>
          <w:bCs/>
        </w:rPr>
        <w:t xml:space="preserve"> to co</w:t>
      </w:r>
      <w:r w:rsidR="0018490D" w:rsidRPr="000714B3">
        <w:rPr>
          <w:rFonts w:asciiTheme="minorHAnsi" w:eastAsia="Times New Roman" w:hAnsiTheme="minorHAnsi" w:cstheme="minorHAnsi"/>
          <w:bCs/>
        </w:rPr>
        <w:t>llect data containing PII</w:t>
      </w:r>
      <w:r w:rsidRPr="000714B3">
        <w:rPr>
          <w:rFonts w:asciiTheme="minorHAnsi" w:eastAsia="Times New Roman" w:hAnsiTheme="minorHAnsi" w:cstheme="minorHAnsi"/>
          <w:bCs/>
        </w:rPr>
        <w:t>, the Data Collector should consult with counsel to understand</w:t>
      </w:r>
      <w:r w:rsidR="000F6AB4" w:rsidRPr="000714B3">
        <w:rPr>
          <w:rFonts w:asciiTheme="minorHAnsi" w:eastAsia="Times New Roman" w:hAnsiTheme="minorHAnsi" w:cstheme="minorHAnsi"/>
          <w:bCs/>
        </w:rPr>
        <w:t xml:space="preserve"> applicable</w:t>
      </w:r>
      <w:r w:rsidRPr="000714B3">
        <w:rPr>
          <w:rFonts w:asciiTheme="minorHAnsi" w:eastAsia="Times New Roman" w:hAnsiTheme="minorHAnsi" w:cstheme="minorHAnsi"/>
          <w:bCs/>
        </w:rPr>
        <w:t xml:space="preserve"> limitations and obligations under the GDPR and CCPA</w:t>
      </w:r>
      <w:r w:rsidR="00CA29A4" w:rsidRPr="000714B3">
        <w:rPr>
          <w:rFonts w:asciiTheme="minorHAnsi" w:eastAsia="Times New Roman" w:hAnsiTheme="minorHAnsi" w:cstheme="minorHAnsi"/>
          <w:bCs/>
        </w:rPr>
        <w:t>, as well as other applicable Privacy Laws</w:t>
      </w:r>
      <w:r w:rsidRPr="000714B3">
        <w:rPr>
          <w:rFonts w:asciiTheme="minorHAnsi" w:eastAsia="Times New Roman" w:hAnsiTheme="minorHAnsi" w:cstheme="minorHAnsi"/>
          <w:bCs/>
        </w:rPr>
        <w:t>.</w:t>
      </w:r>
      <w:r w:rsidR="00A679B4" w:rsidRPr="000714B3">
        <w:rPr>
          <w:rFonts w:asciiTheme="minorHAnsi" w:eastAsia="Times New Roman" w:hAnsiTheme="minorHAnsi" w:cstheme="minorHAnsi"/>
          <w:bCs/>
        </w:rPr>
        <w:t xml:space="preserve"> </w:t>
      </w:r>
      <w:r w:rsidR="00A679B4" w:rsidRPr="000714B3">
        <w:rPr>
          <w:rFonts w:asciiTheme="minorHAnsi" w:eastAsia="Times New Roman" w:hAnsiTheme="minorHAnsi" w:cstheme="minorHAnsi"/>
        </w:rPr>
        <w:t xml:space="preserve">These </w:t>
      </w:r>
      <w:r w:rsidR="000F6AB4" w:rsidRPr="000714B3">
        <w:rPr>
          <w:rFonts w:asciiTheme="minorHAnsi" w:eastAsia="Times New Roman" w:hAnsiTheme="minorHAnsi" w:cstheme="minorHAnsi"/>
        </w:rPr>
        <w:t xml:space="preserve">requirements </w:t>
      </w:r>
      <w:r w:rsidR="005E331E" w:rsidRPr="000714B3">
        <w:rPr>
          <w:rFonts w:asciiTheme="minorHAnsi" w:eastAsia="Times New Roman" w:hAnsiTheme="minorHAnsi" w:cstheme="minorHAnsi"/>
        </w:rPr>
        <w:t xml:space="preserve">may </w:t>
      </w:r>
      <w:r w:rsidR="00A54477" w:rsidRPr="000714B3">
        <w:rPr>
          <w:rFonts w:asciiTheme="minorHAnsi" w:eastAsia="Times New Roman" w:hAnsiTheme="minorHAnsi" w:cstheme="minorHAnsi"/>
        </w:rPr>
        <w:t>include:</w:t>
      </w:r>
    </w:p>
    <w:p w14:paraId="151ADD01" w14:textId="5AF130D3" w:rsidR="002174A2" w:rsidRPr="000714B3" w:rsidRDefault="002174A2" w:rsidP="00A54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Minimizing the scope of data </w:t>
      </w:r>
      <w:proofErr w:type="gramStart"/>
      <w:r w:rsidRPr="000714B3">
        <w:rPr>
          <w:rFonts w:asciiTheme="minorHAnsi" w:eastAsia="Times New Roman" w:hAnsiTheme="minorHAnsi" w:cstheme="minorHAnsi"/>
        </w:rPr>
        <w:t>collected;</w:t>
      </w:r>
      <w:proofErr w:type="gramEnd"/>
    </w:p>
    <w:p w14:paraId="508DE059" w14:textId="49B56F74" w:rsidR="00115F5F" w:rsidRPr="000714B3" w:rsidRDefault="002174A2" w:rsidP="00A54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Limiting </w:t>
      </w:r>
      <w:r w:rsidR="00B743FF" w:rsidRPr="000714B3">
        <w:rPr>
          <w:rFonts w:asciiTheme="minorHAnsi" w:eastAsia="Times New Roman" w:hAnsiTheme="minorHAnsi" w:cstheme="minorHAnsi"/>
        </w:rPr>
        <w:t>the purposes for which PII can be processed</w:t>
      </w:r>
      <w:r w:rsidR="005E331E" w:rsidRPr="000714B3">
        <w:rPr>
          <w:rFonts w:asciiTheme="minorHAnsi" w:eastAsia="Times New Roman" w:hAnsiTheme="minorHAnsi" w:cstheme="minorHAnsi"/>
        </w:rPr>
        <w:t xml:space="preserve"> and the scope of processing </w:t>
      </w:r>
      <w:proofErr w:type="gramStart"/>
      <w:r w:rsidR="005E331E" w:rsidRPr="000714B3">
        <w:rPr>
          <w:rFonts w:asciiTheme="minorHAnsi" w:eastAsia="Times New Roman" w:hAnsiTheme="minorHAnsi" w:cstheme="minorHAnsi"/>
        </w:rPr>
        <w:t>activities</w:t>
      </w:r>
      <w:r w:rsidR="00CA29A4" w:rsidRPr="000714B3">
        <w:rPr>
          <w:rFonts w:asciiTheme="minorHAnsi" w:eastAsia="Times New Roman" w:hAnsiTheme="minorHAnsi" w:cstheme="minorHAnsi"/>
        </w:rPr>
        <w:t>;</w:t>
      </w:r>
      <w:proofErr w:type="gramEnd"/>
    </w:p>
    <w:p w14:paraId="3F83A0DD" w14:textId="1ADC6FCB" w:rsidR="00A54477" w:rsidRPr="000714B3" w:rsidRDefault="00A54477" w:rsidP="00A54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Notifying data s</w:t>
      </w:r>
      <w:r w:rsidR="00CA29A4" w:rsidRPr="000714B3">
        <w:rPr>
          <w:rFonts w:asciiTheme="minorHAnsi" w:eastAsia="Times New Roman" w:hAnsiTheme="minorHAnsi" w:cstheme="minorHAnsi"/>
        </w:rPr>
        <w:t xml:space="preserve">ubjects to whom the PII </w:t>
      </w:r>
      <w:proofErr w:type="gramStart"/>
      <w:r w:rsidR="00CA29A4" w:rsidRPr="000714B3">
        <w:rPr>
          <w:rFonts w:asciiTheme="minorHAnsi" w:eastAsia="Times New Roman" w:hAnsiTheme="minorHAnsi" w:cstheme="minorHAnsi"/>
        </w:rPr>
        <w:t>relates;</w:t>
      </w:r>
      <w:proofErr w:type="gramEnd"/>
    </w:p>
    <w:p w14:paraId="7115404E" w14:textId="72C3553B" w:rsidR="00A54477" w:rsidRPr="000714B3" w:rsidRDefault="00711F3A" w:rsidP="00A54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Purging or providing </w:t>
      </w:r>
      <w:r w:rsidR="009E337B" w:rsidRPr="000714B3">
        <w:rPr>
          <w:rFonts w:asciiTheme="minorHAnsi" w:eastAsia="Times New Roman" w:hAnsiTheme="minorHAnsi" w:cstheme="minorHAnsi"/>
        </w:rPr>
        <w:t>PII</w:t>
      </w:r>
      <w:r w:rsidRPr="000714B3">
        <w:rPr>
          <w:rFonts w:asciiTheme="minorHAnsi" w:eastAsia="Times New Roman" w:hAnsiTheme="minorHAnsi" w:cstheme="minorHAnsi"/>
        </w:rPr>
        <w:t xml:space="preserve"> relating to a data subjec</w:t>
      </w:r>
      <w:r w:rsidR="00CA29A4" w:rsidRPr="000714B3">
        <w:rPr>
          <w:rFonts w:asciiTheme="minorHAnsi" w:eastAsia="Times New Roman" w:hAnsiTheme="minorHAnsi" w:cstheme="minorHAnsi"/>
        </w:rPr>
        <w:t xml:space="preserve">t at the data subject’s </w:t>
      </w:r>
      <w:proofErr w:type="gramStart"/>
      <w:r w:rsidR="00CA29A4" w:rsidRPr="000714B3">
        <w:rPr>
          <w:rFonts w:asciiTheme="minorHAnsi" w:eastAsia="Times New Roman" w:hAnsiTheme="minorHAnsi" w:cstheme="minorHAnsi"/>
        </w:rPr>
        <w:t>request;</w:t>
      </w:r>
      <w:proofErr w:type="gramEnd"/>
      <w:r w:rsidR="00CA29A4" w:rsidRPr="000714B3">
        <w:rPr>
          <w:rFonts w:asciiTheme="minorHAnsi" w:eastAsia="Times New Roman" w:hAnsiTheme="minorHAnsi" w:cstheme="minorHAnsi"/>
        </w:rPr>
        <w:t xml:space="preserve"> </w:t>
      </w:r>
    </w:p>
    <w:p w14:paraId="0863CAE9" w14:textId="7AF4A143" w:rsidR="008F7F84" w:rsidRPr="000714B3" w:rsidRDefault="000F6AB4" w:rsidP="00B15F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Imposing</w:t>
      </w:r>
      <w:r w:rsidR="008D7248" w:rsidRPr="000714B3">
        <w:rPr>
          <w:rFonts w:asciiTheme="minorHAnsi" w:eastAsia="Times New Roman" w:hAnsiTheme="minorHAnsi" w:cstheme="minorHAnsi"/>
        </w:rPr>
        <w:t xml:space="preserve"> </w:t>
      </w:r>
      <w:r w:rsidRPr="000714B3">
        <w:rPr>
          <w:rFonts w:asciiTheme="minorHAnsi" w:eastAsia="Times New Roman" w:hAnsiTheme="minorHAnsi" w:cstheme="minorHAnsi"/>
        </w:rPr>
        <w:t xml:space="preserve">certain </w:t>
      </w:r>
      <w:r w:rsidR="008D7248" w:rsidRPr="000714B3">
        <w:rPr>
          <w:rFonts w:asciiTheme="minorHAnsi" w:eastAsia="Times New Roman" w:hAnsiTheme="minorHAnsi" w:cstheme="minorHAnsi"/>
        </w:rPr>
        <w:t xml:space="preserve">contractual </w:t>
      </w:r>
      <w:r w:rsidRPr="000714B3">
        <w:rPr>
          <w:rFonts w:asciiTheme="minorHAnsi" w:eastAsia="Times New Roman" w:hAnsiTheme="minorHAnsi" w:cstheme="minorHAnsi"/>
        </w:rPr>
        <w:t xml:space="preserve">obligations </w:t>
      </w:r>
      <w:r w:rsidR="008D7248" w:rsidRPr="000714B3">
        <w:rPr>
          <w:rFonts w:asciiTheme="minorHAnsi" w:eastAsia="Times New Roman" w:hAnsiTheme="minorHAnsi" w:cstheme="minorHAnsi"/>
        </w:rPr>
        <w:t xml:space="preserve">on vendors who process </w:t>
      </w:r>
      <w:r w:rsidR="002174A2" w:rsidRPr="000714B3">
        <w:rPr>
          <w:rFonts w:asciiTheme="minorHAnsi" w:eastAsia="Times New Roman" w:hAnsiTheme="minorHAnsi" w:cstheme="minorHAnsi"/>
        </w:rPr>
        <w:t>PII; and</w:t>
      </w:r>
    </w:p>
    <w:p w14:paraId="04D20160" w14:textId="50A98894" w:rsidR="002174A2" w:rsidRPr="000714B3" w:rsidRDefault="002174A2" w:rsidP="002174A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20" w:after="220"/>
        <w:contextualSpacing w:val="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>Conducting a data protection impact assessment.</w:t>
      </w:r>
    </w:p>
    <w:p w14:paraId="178DE983" w14:textId="060C9DAB" w:rsidR="00A679B4" w:rsidRPr="000714B3" w:rsidRDefault="009B4499" w:rsidP="009B4499">
      <w:pPr>
        <w:autoSpaceDE w:val="0"/>
        <w:autoSpaceDN w:val="0"/>
        <w:adjustRightInd w:val="0"/>
        <w:spacing w:before="220" w:after="22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The </w:t>
      </w:r>
      <w:r w:rsidR="00F816D1" w:rsidRPr="000714B3">
        <w:rPr>
          <w:rFonts w:asciiTheme="minorHAnsi" w:eastAsia="Times New Roman" w:hAnsiTheme="minorHAnsi" w:cstheme="minorHAnsi"/>
        </w:rPr>
        <w:t xml:space="preserve">applicability of such </w:t>
      </w:r>
      <w:r w:rsidRPr="000714B3">
        <w:rPr>
          <w:rFonts w:asciiTheme="minorHAnsi" w:eastAsia="Times New Roman" w:hAnsiTheme="minorHAnsi" w:cstheme="minorHAnsi"/>
        </w:rPr>
        <w:t xml:space="preserve">restrictions is further complicated in the United States, where </w:t>
      </w:r>
      <w:r w:rsidR="000C0CB0" w:rsidRPr="000714B3">
        <w:rPr>
          <w:rFonts w:asciiTheme="minorHAnsi" w:eastAsia="Times New Roman" w:hAnsiTheme="minorHAnsi" w:cstheme="minorHAnsi"/>
        </w:rPr>
        <w:t>it has been argued—but not yet held by any court—</w:t>
      </w:r>
      <w:r w:rsidR="00C22FE6" w:rsidRPr="000714B3">
        <w:rPr>
          <w:rFonts w:asciiTheme="minorHAnsi" w:eastAsia="Times New Roman" w:hAnsiTheme="minorHAnsi" w:cstheme="minorHAnsi"/>
        </w:rPr>
        <w:t xml:space="preserve">that </w:t>
      </w:r>
      <w:r w:rsidR="00480083" w:rsidRPr="000714B3">
        <w:rPr>
          <w:rFonts w:asciiTheme="minorHAnsi" w:eastAsia="Times New Roman" w:hAnsiTheme="minorHAnsi" w:cstheme="minorHAnsi"/>
        </w:rPr>
        <w:t>restricting the dissemination of accurate, publicly available information is inconsistent with the First Amendment.</w:t>
      </w:r>
    </w:p>
    <w:p w14:paraId="66C5B27B" w14:textId="6132C530" w:rsidR="00A679B4" w:rsidRPr="000714B3" w:rsidRDefault="009B4499" w:rsidP="00BC10F8">
      <w:pPr>
        <w:autoSpaceDE w:val="0"/>
        <w:autoSpaceDN w:val="0"/>
        <w:adjustRightInd w:val="0"/>
        <w:spacing w:before="220" w:after="220"/>
        <w:rPr>
          <w:rFonts w:asciiTheme="minorHAnsi" w:eastAsia="Times New Roman" w:hAnsiTheme="minorHAnsi" w:cstheme="minorHAnsi"/>
        </w:rPr>
      </w:pPr>
      <w:r w:rsidRPr="000714B3">
        <w:rPr>
          <w:rFonts w:asciiTheme="minorHAnsi" w:eastAsia="Times New Roman" w:hAnsiTheme="minorHAnsi" w:cstheme="minorHAnsi"/>
        </w:rPr>
        <w:t xml:space="preserve">To the extent restrictions </w:t>
      </w:r>
      <w:r w:rsidR="0094588D" w:rsidRPr="000714B3">
        <w:rPr>
          <w:rFonts w:asciiTheme="minorHAnsi" w:eastAsia="Times New Roman" w:hAnsiTheme="minorHAnsi" w:cstheme="minorHAnsi"/>
        </w:rPr>
        <w:t xml:space="preserve">under Privacy Laws are valid and </w:t>
      </w:r>
      <w:r w:rsidRPr="000714B3">
        <w:rPr>
          <w:rFonts w:asciiTheme="minorHAnsi" w:eastAsia="Times New Roman" w:hAnsiTheme="minorHAnsi" w:cstheme="minorHAnsi"/>
        </w:rPr>
        <w:t>apply</w:t>
      </w:r>
      <w:r w:rsidR="0094588D" w:rsidRPr="000714B3">
        <w:rPr>
          <w:rFonts w:asciiTheme="minorHAnsi" w:eastAsia="Times New Roman" w:hAnsiTheme="minorHAnsi" w:cstheme="minorHAnsi"/>
        </w:rPr>
        <w:t xml:space="preserve"> to Data Collectors</w:t>
      </w:r>
      <w:r w:rsidRPr="000714B3">
        <w:rPr>
          <w:rFonts w:asciiTheme="minorHAnsi" w:eastAsia="Times New Roman" w:hAnsiTheme="minorHAnsi" w:cstheme="minorHAnsi"/>
        </w:rPr>
        <w:t xml:space="preserve">, </w:t>
      </w:r>
      <w:r w:rsidRPr="000714B3">
        <w:rPr>
          <w:rFonts w:asciiTheme="minorHAnsi" w:eastAsia="Times New Roman" w:hAnsiTheme="minorHAnsi" w:cstheme="minorHAnsi"/>
          <w:bCs/>
        </w:rPr>
        <w:t xml:space="preserve">failure to abide by them </w:t>
      </w:r>
      <w:r w:rsidR="0094588D" w:rsidRPr="000714B3">
        <w:rPr>
          <w:rFonts w:asciiTheme="minorHAnsi" w:eastAsia="Times New Roman" w:hAnsiTheme="minorHAnsi" w:cstheme="minorHAnsi"/>
          <w:bCs/>
        </w:rPr>
        <w:t xml:space="preserve">can </w:t>
      </w:r>
      <w:r w:rsidR="00934057" w:rsidRPr="000714B3">
        <w:rPr>
          <w:rFonts w:asciiTheme="minorHAnsi" w:eastAsia="Times New Roman" w:hAnsiTheme="minorHAnsi" w:cstheme="minorHAnsi"/>
          <w:bCs/>
        </w:rPr>
        <w:t xml:space="preserve">carry </w:t>
      </w:r>
      <w:r w:rsidRPr="000714B3">
        <w:rPr>
          <w:rFonts w:asciiTheme="minorHAnsi" w:eastAsia="Times New Roman" w:hAnsiTheme="minorHAnsi" w:cstheme="minorHAnsi"/>
          <w:bCs/>
        </w:rPr>
        <w:t xml:space="preserve">serious consequences. For example, in March 2019, the Polish Supervisory Authority fined a Polish company more than €200,000 for processing PII scraped </w:t>
      </w:r>
      <w:r w:rsidRPr="000714B3">
        <w:rPr>
          <w:rFonts w:asciiTheme="minorHAnsi" w:eastAsia="Times New Roman" w:hAnsiTheme="minorHAnsi" w:cstheme="minorHAnsi"/>
          <w:bCs/>
        </w:rPr>
        <w:lastRenderedPageBreak/>
        <w:t xml:space="preserve">from a public source without properly notifying the individual data subjects </w:t>
      </w:r>
      <w:r w:rsidR="0080183F" w:rsidRPr="000714B3">
        <w:rPr>
          <w:rFonts w:asciiTheme="minorHAnsi" w:eastAsia="Times New Roman" w:hAnsiTheme="minorHAnsi" w:cstheme="minorHAnsi"/>
          <w:bCs/>
        </w:rPr>
        <w:t xml:space="preserve">to whom the data related (as required by </w:t>
      </w:r>
      <w:r w:rsidRPr="000714B3">
        <w:rPr>
          <w:rFonts w:asciiTheme="minorHAnsi" w:eastAsia="Times New Roman" w:hAnsiTheme="minorHAnsi" w:cstheme="minorHAnsi"/>
          <w:bCs/>
        </w:rPr>
        <w:t>the GPDR</w:t>
      </w:r>
      <w:r w:rsidR="0080183F" w:rsidRPr="000714B3">
        <w:rPr>
          <w:rFonts w:asciiTheme="minorHAnsi" w:eastAsia="Times New Roman" w:hAnsiTheme="minorHAnsi" w:cstheme="minorHAnsi"/>
          <w:bCs/>
        </w:rPr>
        <w:t>)</w:t>
      </w:r>
      <w:r w:rsidRPr="000714B3">
        <w:rPr>
          <w:rFonts w:asciiTheme="minorHAnsi" w:eastAsia="Times New Roman" w:hAnsiTheme="minorHAnsi" w:cstheme="minorHAnsi"/>
          <w:bCs/>
        </w:rPr>
        <w:t>.</w:t>
      </w:r>
      <w:r w:rsidRPr="000714B3">
        <w:rPr>
          <w:rStyle w:val="FootnoteReference"/>
          <w:rFonts w:asciiTheme="minorHAnsi" w:eastAsia="Times New Roman" w:hAnsiTheme="minorHAnsi" w:cstheme="minorHAnsi"/>
          <w:bCs/>
        </w:rPr>
        <w:footnoteReference w:id="1"/>
      </w:r>
    </w:p>
    <w:sectPr w:rsidR="00A679B4" w:rsidRPr="000714B3" w:rsidSect="003377B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33196" w14:textId="77777777" w:rsidR="00B96B78" w:rsidRDefault="00B96B78" w:rsidP="009352F0">
      <w:r>
        <w:separator/>
      </w:r>
    </w:p>
  </w:endnote>
  <w:endnote w:type="continuationSeparator" w:id="0">
    <w:p w14:paraId="1A521459" w14:textId="77777777" w:rsidR="00B96B78" w:rsidRDefault="00B96B78" w:rsidP="0093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4830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703E6" w14:textId="77777777" w:rsidR="003432FF" w:rsidRDefault="003432FF" w:rsidP="001E62C8">
        <w:pPr>
          <w:pStyle w:val="Footer"/>
          <w:tabs>
            <w:tab w:val="clear" w:pos="9360"/>
            <w:tab w:val="right" w:pos="9900"/>
          </w:tabs>
          <w:spacing w:before="80" w:after="80"/>
          <w:ind w:left="-720" w:right="-540"/>
          <w:jc w:val="right"/>
        </w:pPr>
      </w:p>
      <w:p w14:paraId="2229555E" w14:textId="2C98668F" w:rsidR="001E62C8" w:rsidRDefault="003432FF" w:rsidP="003432FF">
        <w:pPr>
          <w:pStyle w:val="Footer"/>
          <w:tabs>
            <w:tab w:val="clear" w:pos="9360"/>
            <w:tab w:val="left" w:pos="500"/>
            <w:tab w:val="right" w:pos="9900"/>
          </w:tabs>
          <w:spacing w:before="80" w:after="80"/>
          <w:ind w:left="-720" w:right="-540"/>
          <w:rPr>
            <w:rFonts w:ascii="Arial" w:hAnsi="Arial" w:cs="Arial"/>
            <w:noProof/>
            <w:sz w:val="22"/>
            <w:szCs w:val="22"/>
          </w:rPr>
        </w:pPr>
        <w:r>
          <w:rPr>
            <w:rFonts w:ascii="Arial" w:hAnsi="Arial" w:cs="Arial"/>
            <w:sz w:val="22"/>
            <w:szCs w:val="22"/>
          </w:rPr>
          <w:tab/>
        </w:r>
        <w:r>
          <w:rPr>
            <w:rFonts w:ascii="Arial" w:hAnsi="Arial" w:cs="Arial"/>
            <w:sz w:val="22"/>
            <w:szCs w:val="22"/>
          </w:rPr>
          <w:tab/>
        </w:r>
        <w:r>
          <w:rPr>
            <w:rFonts w:ascii="Arial" w:hAnsi="Arial" w:cs="Arial"/>
            <w:sz w:val="22"/>
            <w:szCs w:val="22"/>
          </w:rPr>
          <w:tab/>
        </w:r>
        <w:r w:rsidR="009352F0" w:rsidRPr="00EE1775">
          <w:rPr>
            <w:rFonts w:ascii="Arial" w:hAnsi="Arial" w:cs="Arial"/>
            <w:sz w:val="22"/>
            <w:szCs w:val="22"/>
          </w:rPr>
          <w:fldChar w:fldCharType="begin"/>
        </w:r>
        <w:r w:rsidR="009352F0" w:rsidRPr="00EE1775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="009352F0" w:rsidRPr="00EE1775">
          <w:rPr>
            <w:rFonts w:ascii="Arial" w:hAnsi="Arial" w:cs="Arial"/>
            <w:sz w:val="22"/>
            <w:szCs w:val="22"/>
          </w:rPr>
          <w:fldChar w:fldCharType="separate"/>
        </w:r>
        <w:r w:rsidR="003A5F69">
          <w:rPr>
            <w:rFonts w:ascii="Arial" w:hAnsi="Arial" w:cs="Arial"/>
            <w:noProof/>
            <w:sz w:val="22"/>
            <w:szCs w:val="22"/>
          </w:rPr>
          <w:t>2</w:t>
        </w:r>
        <w:r w:rsidR="009352F0" w:rsidRPr="00EE1775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82817" w14:textId="2CB5C0BC" w:rsidR="003432FF" w:rsidRDefault="00EF5633" w:rsidP="003432FF">
    <w:pPr>
      <w:rPr>
        <w:rFonts w:cs="Tahoma"/>
        <w:sz w:val="18"/>
        <w:szCs w:val="18"/>
      </w:rPr>
    </w:pPr>
    <w:hyperlink r:id="rId1" w:history="1">
      <w:r w:rsidRPr="002A3679">
        <w:rPr>
          <w:rStyle w:val="Hyperlink"/>
          <w:rFonts w:cs="Tahoma"/>
          <w:sz w:val="18"/>
          <w:szCs w:val="18"/>
        </w:rPr>
        <w:t>http://history.www.siia.net/Divisions/FISD-Financial-Information-Services-Association/Programs/Alternative-Data-Council</w:t>
      </w:r>
    </w:hyperlink>
  </w:p>
  <w:p w14:paraId="1B06E6EE" w14:textId="06F309C8" w:rsidR="003432FF" w:rsidRDefault="003432FF" w:rsidP="003432FF">
    <w:pPr>
      <w:rPr>
        <w:rFonts w:cs="Tahoma"/>
        <w:sz w:val="18"/>
        <w:szCs w:val="18"/>
      </w:rPr>
    </w:pPr>
    <w:r>
      <w:rPr>
        <w:rFonts w:cs="Tahoma"/>
        <w:sz w:val="18"/>
        <w:szCs w:val="18"/>
      </w:rPr>
      <w:t>Version 1.0 December 2020</w:t>
    </w:r>
  </w:p>
  <w:p w14:paraId="1B8B6C3E" w14:textId="43B00261" w:rsidR="003377BB" w:rsidRDefault="003377BB" w:rsidP="003377BB">
    <w:pPr>
      <w:pStyle w:val="Footer"/>
      <w:tabs>
        <w:tab w:val="clear" w:pos="9360"/>
        <w:tab w:val="right" w:pos="10260"/>
      </w:tabs>
      <w:spacing w:before="80" w:after="80"/>
      <w:ind w:left="-720" w:right="-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78281" w14:textId="77777777" w:rsidR="00B96B78" w:rsidRDefault="00B96B78" w:rsidP="009352F0">
      <w:r>
        <w:separator/>
      </w:r>
    </w:p>
  </w:footnote>
  <w:footnote w:type="continuationSeparator" w:id="0">
    <w:p w14:paraId="1734B535" w14:textId="77777777" w:rsidR="00B96B78" w:rsidRDefault="00B96B78" w:rsidP="009352F0">
      <w:r>
        <w:continuationSeparator/>
      </w:r>
    </w:p>
  </w:footnote>
  <w:footnote w:id="1">
    <w:p w14:paraId="486571D1" w14:textId="537DA1DB" w:rsidR="009B4499" w:rsidRPr="00C26BAF" w:rsidRDefault="009B4499" w:rsidP="009B4499">
      <w:pPr>
        <w:pStyle w:val="FootnoteText"/>
      </w:pPr>
      <w:r w:rsidRPr="00BA3230">
        <w:rPr>
          <w:rStyle w:val="FootnoteReference"/>
        </w:rPr>
        <w:footnoteRef/>
      </w:r>
      <w:r w:rsidRPr="00BA3230">
        <w:t xml:space="preserve"> </w:t>
      </w:r>
      <w:r w:rsidR="0080183F" w:rsidRPr="00BA3230">
        <w:t>[</w:t>
      </w:r>
      <w:r w:rsidRPr="00BA3230">
        <w:rPr>
          <w:i/>
        </w:rPr>
        <w:t>See, e.g.</w:t>
      </w:r>
      <w:r w:rsidRPr="00BA3230">
        <w:t xml:space="preserve">, </w:t>
      </w:r>
      <w:hyperlink r:id="rId1" w:history="1">
        <w:r w:rsidRPr="00BA3230">
          <w:rPr>
            <w:rStyle w:val="Hyperlink"/>
          </w:rPr>
          <w:t>https://www.insideprivacy.com/data-privacy/polish-supervisory-authority-issues-gdpr-fine-for-data-scraping-without-informing-individuals/</w:t>
        </w:r>
      </w:hyperlink>
      <w:r w:rsidR="0080183F" w:rsidRPr="00BA3230">
        <w:rPr>
          <w:rStyle w:val="Hyperlink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6481" w14:textId="77777777" w:rsidR="009352F0" w:rsidRDefault="009352F0" w:rsidP="009352F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8B72F" w14:textId="5A916EB6" w:rsidR="003377BB" w:rsidRPr="006F7EA4" w:rsidRDefault="00EF5633" w:rsidP="003377BB">
    <w:pPr>
      <w:pStyle w:val="Heading1"/>
      <w:spacing w:before="0" w:beforeAutospacing="0" w:after="0" w:afterAutospacing="0"/>
      <w:jc w:val="center"/>
      <w:rPr>
        <w:rFonts w:ascii="Segoe UI" w:eastAsia="Times New Roman" w:hAnsi="Segoe UI" w:cs="Segoe UI"/>
        <w:sz w:val="26"/>
        <w:szCs w:val="26"/>
      </w:rPr>
    </w:pPr>
    <w:r>
      <w:rPr>
        <w:noProof/>
      </w:rPr>
      <w:drawing>
        <wp:inline distT="0" distB="0" distL="0" distR="0" wp14:anchorId="18511DFA" wp14:editId="7AF7BBD6">
          <wp:extent cx="1155700" cy="575945"/>
          <wp:effectExtent l="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77BB" w:rsidRPr="006F7EA4">
      <w:rPr>
        <w:rFonts w:ascii="Segoe UI" w:eastAsia="Times New Roman" w:hAnsi="Segoe UI" w:cs="Segoe UI"/>
        <w:sz w:val="26"/>
        <w:szCs w:val="26"/>
      </w:rPr>
      <w:t xml:space="preserve"> </w:t>
    </w:r>
  </w:p>
  <w:p w14:paraId="5EC84AB5" w14:textId="77777777" w:rsidR="003377BB" w:rsidRPr="003432FF" w:rsidRDefault="003377BB" w:rsidP="003377BB">
    <w:pPr>
      <w:pStyle w:val="Heading1"/>
      <w:spacing w:before="0" w:beforeAutospacing="0" w:after="0" w:afterAutospacing="0"/>
      <w:jc w:val="center"/>
      <w:rPr>
        <w:rFonts w:ascii="Segoe UI" w:eastAsia="Times New Roman" w:hAnsi="Segoe UI" w:cs="Segoe UI"/>
        <w:sz w:val="36"/>
        <w:szCs w:val="36"/>
      </w:rPr>
    </w:pPr>
    <w:r w:rsidRPr="003432FF">
      <w:rPr>
        <w:rFonts w:ascii="Segoe UI" w:eastAsia="Times New Roman" w:hAnsi="Segoe UI" w:cs="Segoe UI"/>
        <w:sz w:val="36"/>
        <w:szCs w:val="36"/>
      </w:rPr>
      <w:t>Web Data Collection Considerations:</w:t>
    </w:r>
  </w:p>
  <w:p w14:paraId="35E852D9" w14:textId="72949606" w:rsidR="001640B2" w:rsidRPr="003432FF" w:rsidRDefault="003377BB" w:rsidP="003377BB">
    <w:pPr>
      <w:pStyle w:val="Heading1"/>
      <w:spacing w:before="0" w:beforeAutospacing="0" w:after="0" w:afterAutospacing="0"/>
      <w:jc w:val="center"/>
      <w:rPr>
        <w:rFonts w:ascii="Segoe UI" w:hAnsi="Segoe UI" w:cs="Segoe UI"/>
        <w:sz w:val="36"/>
        <w:szCs w:val="36"/>
      </w:rPr>
    </w:pPr>
    <w:r w:rsidRPr="003432FF">
      <w:rPr>
        <w:rFonts w:ascii="Segoe UI" w:eastAsia="Times New Roman" w:hAnsi="Segoe UI" w:cs="Segoe UI"/>
        <w:sz w:val="36"/>
        <w:szCs w:val="36"/>
      </w:rPr>
      <w:t>Privacy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910E9"/>
    <w:multiLevelType w:val="hybridMultilevel"/>
    <w:tmpl w:val="E23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6A54"/>
    <w:multiLevelType w:val="hybridMultilevel"/>
    <w:tmpl w:val="C4D6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00CB"/>
    <w:multiLevelType w:val="multilevel"/>
    <w:tmpl w:val="14B49E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C005E"/>
    <w:multiLevelType w:val="hybridMultilevel"/>
    <w:tmpl w:val="92F4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1E33"/>
    <w:multiLevelType w:val="multilevel"/>
    <w:tmpl w:val="14B49E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E4870"/>
    <w:multiLevelType w:val="hybridMultilevel"/>
    <w:tmpl w:val="49C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F0"/>
    <w:rsid w:val="00015DAE"/>
    <w:rsid w:val="0001647E"/>
    <w:rsid w:val="00021ED3"/>
    <w:rsid w:val="00034347"/>
    <w:rsid w:val="00063E56"/>
    <w:rsid w:val="000714B3"/>
    <w:rsid w:val="000C0CB0"/>
    <w:rsid w:val="000D48B3"/>
    <w:rsid w:val="000D641B"/>
    <w:rsid w:val="000E2170"/>
    <w:rsid w:val="000F2099"/>
    <w:rsid w:val="000F3E4E"/>
    <w:rsid w:val="000F6AB4"/>
    <w:rsid w:val="001120B7"/>
    <w:rsid w:val="001143D3"/>
    <w:rsid w:val="00115F5F"/>
    <w:rsid w:val="00146831"/>
    <w:rsid w:val="001602A3"/>
    <w:rsid w:val="001640B2"/>
    <w:rsid w:val="0018490D"/>
    <w:rsid w:val="001B573B"/>
    <w:rsid w:val="001D6AAC"/>
    <w:rsid w:val="001E62C8"/>
    <w:rsid w:val="001E78C1"/>
    <w:rsid w:val="001F5305"/>
    <w:rsid w:val="002174A2"/>
    <w:rsid w:val="002376B2"/>
    <w:rsid w:val="002E4A2B"/>
    <w:rsid w:val="002F529D"/>
    <w:rsid w:val="0030602D"/>
    <w:rsid w:val="003134CD"/>
    <w:rsid w:val="00315B5A"/>
    <w:rsid w:val="00316E38"/>
    <w:rsid w:val="003340BF"/>
    <w:rsid w:val="003377BB"/>
    <w:rsid w:val="003432FF"/>
    <w:rsid w:val="003522DE"/>
    <w:rsid w:val="00362620"/>
    <w:rsid w:val="0036509D"/>
    <w:rsid w:val="00367624"/>
    <w:rsid w:val="00367BB5"/>
    <w:rsid w:val="00372863"/>
    <w:rsid w:val="003734DF"/>
    <w:rsid w:val="0037413B"/>
    <w:rsid w:val="003A5F69"/>
    <w:rsid w:val="003A6332"/>
    <w:rsid w:val="003C2307"/>
    <w:rsid w:val="003C323C"/>
    <w:rsid w:val="003D2767"/>
    <w:rsid w:val="003F0CDA"/>
    <w:rsid w:val="00400B51"/>
    <w:rsid w:val="0040759F"/>
    <w:rsid w:val="00407C40"/>
    <w:rsid w:val="004102EE"/>
    <w:rsid w:val="00432D8A"/>
    <w:rsid w:val="00437F0C"/>
    <w:rsid w:val="004454E8"/>
    <w:rsid w:val="00450CBD"/>
    <w:rsid w:val="00465060"/>
    <w:rsid w:val="004775BF"/>
    <w:rsid w:val="00480083"/>
    <w:rsid w:val="004852F4"/>
    <w:rsid w:val="00485370"/>
    <w:rsid w:val="004B0983"/>
    <w:rsid w:val="004B1B62"/>
    <w:rsid w:val="004C2E9C"/>
    <w:rsid w:val="004E3C0A"/>
    <w:rsid w:val="004F339F"/>
    <w:rsid w:val="005124E7"/>
    <w:rsid w:val="005337B2"/>
    <w:rsid w:val="0056224D"/>
    <w:rsid w:val="005656AB"/>
    <w:rsid w:val="00572BE5"/>
    <w:rsid w:val="00573A4E"/>
    <w:rsid w:val="00595918"/>
    <w:rsid w:val="005A46E9"/>
    <w:rsid w:val="005C09D3"/>
    <w:rsid w:val="005C1A4E"/>
    <w:rsid w:val="005D4B89"/>
    <w:rsid w:val="005E331E"/>
    <w:rsid w:val="005E7DAA"/>
    <w:rsid w:val="005F0C06"/>
    <w:rsid w:val="005F60DB"/>
    <w:rsid w:val="00604A64"/>
    <w:rsid w:val="00611016"/>
    <w:rsid w:val="006414E4"/>
    <w:rsid w:val="006464E4"/>
    <w:rsid w:val="00653571"/>
    <w:rsid w:val="00662C2E"/>
    <w:rsid w:val="00681705"/>
    <w:rsid w:val="006B04C0"/>
    <w:rsid w:val="006B3651"/>
    <w:rsid w:val="006B3A87"/>
    <w:rsid w:val="006E049A"/>
    <w:rsid w:val="006E3812"/>
    <w:rsid w:val="006F7EA4"/>
    <w:rsid w:val="00711F3A"/>
    <w:rsid w:val="0071790B"/>
    <w:rsid w:val="00726CBF"/>
    <w:rsid w:val="00733B9B"/>
    <w:rsid w:val="00735F21"/>
    <w:rsid w:val="00771376"/>
    <w:rsid w:val="007747E8"/>
    <w:rsid w:val="0077545B"/>
    <w:rsid w:val="007B6194"/>
    <w:rsid w:val="007D7871"/>
    <w:rsid w:val="007D7F4F"/>
    <w:rsid w:val="007F4580"/>
    <w:rsid w:val="0080183F"/>
    <w:rsid w:val="00811E7A"/>
    <w:rsid w:val="00814D99"/>
    <w:rsid w:val="0085145A"/>
    <w:rsid w:val="00873FF9"/>
    <w:rsid w:val="008947FF"/>
    <w:rsid w:val="00896ED1"/>
    <w:rsid w:val="008A67D6"/>
    <w:rsid w:val="008C5E3A"/>
    <w:rsid w:val="008D29BC"/>
    <w:rsid w:val="008D7248"/>
    <w:rsid w:val="008E76C6"/>
    <w:rsid w:val="008F7F84"/>
    <w:rsid w:val="009037DE"/>
    <w:rsid w:val="00927330"/>
    <w:rsid w:val="00930E1F"/>
    <w:rsid w:val="00932149"/>
    <w:rsid w:val="00934057"/>
    <w:rsid w:val="009346C5"/>
    <w:rsid w:val="009352F0"/>
    <w:rsid w:val="0094037F"/>
    <w:rsid w:val="0094588D"/>
    <w:rsid w:val="0095148E"/>
    <w:rsid w:val="0096468C"/>
    <w:rsid w:val="0097553D"/>
    <w:rsid w:val="00983851"/>
    <w:rsid w:val="009866DA"/>
    <w:rsid w:val="0099335F"/>
    <w:rsid w:val="009B4499"/>
    <w:rsid w:val="009C629D"/>
    <w:rsid w:val="009E0488"/>
    <w:rsid w:val="009E3314"/>
    <w:rsid w:val="009E337B"/>
    <w:rsid w:val="00A02417"/>
    <w:rsid w:val="00A1143F"/>
    <w:rsid w:val="00A50ED8"/>
    <w:rsid w:val="00A54477"/>
    <w:rsid w:val="00A679B4"/>
    <w:rsid w:val="00A67A42"/>
    <w:rsid w:val="00AB1793"/>
    <w:rsid w:val="00AB6620"/>
    <w:rsid w:val="00B051E2"/>
    <w:rsid w:val="00B15FA3"/>
    <w:rsid w:val="00B23B6E"/>
    <w:rsid w:val="00B554AE"/>
    <w:rsid w:val="00B743FF"/>
    <w:rsid w:val="00B911D7"/>
    <w:rsid w:val="00B96B78"/>
    <w:rsid w:val="00BA3230"/>
    <w:rsid w:val="00BB72A5"/>
    <w:rsid w:val="00BC0F60"/>
    <w:rsid w:val="00BC10F8"/>
    <w:rsid w:val="00BC6CE8"/>
    <w:rsid w:val="00BE2786"/>
    <w:rsid w:val="00BE6717"/>
    <w:rsid w:val="00C04D63"/>
    <w:rsid w:val="00C058E9"/>
    <w:rsid w:val="00C1538D"/>
    <w:rsid w:val="00C22FE6"/>
    <w:rsid w:val="00C26BAF"/>
    <w:rsid w:val="00C6292F"/>
    <w:rsid w:val="00C6347D"/>
    <w:rsid w:val="00C76BA4"/>
    <w:rsid w:val="00C7732B"/>
    <w:rsid w:val="00CA29A4"/>
    <w:rsid w:val="00CA3ECB"/>
    <w:rsid w:val="00CA5146"/>
    <w:rsid w:val="00CC4FEA"/>
    <w:rsid w:val="00CD6385"/>
    <w:rsid w:val="00CE3AD3"/>
    <w:rsid w:val="00D36883"/>
    <w:rsid w:val="00D42DC4"/>
    <w:rsid w:val="00D51C4A"/>
    <w:rsid w:val="00D87D7B"/>
    <w:rsid w:val="00DA41EC"/>
    <w:rsid w:val="00DA5985"/>
    <w:rsid w:val="00DB0BF4"/>
    <w:rsid w:val="00DB6C87"/>
    <w:rsid w:val="00DB7592"/>
    <w:rsid w:val="00DD7058"/>
    <w:rsid w:val="00DF68B6"/>
    <w:rsid w:val="00DF7436"/>
    <w:rsid w:val="00DF7EF0"/>
    <w:rsid w:val="00E01762"/>
    <w:rsid w:val="00E02E82"/>
    <w:rsid w:val="00E13519"/>
    <w:rsid w:val="00E32992"/>
    <w:rsid w:val="00E33719"/>
    <w:rsid w:val="00E36436"/>
    <w:rsid w:val="00E40A95"/>
    <w:rsid w:val="00E45365"/>
    <w:rsid w:val="00E550DE"/>
    <w:rsid w:val="00E675C8"/>
    <w:rsid w:val="00E83768"/>
    <w:rsid w:val="00E86C9E"/>
    <w:rsid w:val="00EA5BDE"/>
    <w:rsid w:val="00EB42D6"/>
    <w:rsid w:val="00ED4B9E"/>
    <w:rsid w:val="00EE1775"/>
    <w:rsid w:val="00EF5633"/>
    <w:rsid w:val="00F5580E"/>
    <w:rsid w:val="00F57CF3"/>
    <w:rsid w:val="00F816D1"/>
    <w:rsid w:val="00F93BD0"/>
    <w:rsid w:val="00FA3103"/>
    <w:rsid w:val="00FE30BC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96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F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35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F0"/>
    <w:pPr>
      <w:ind w:left="720"/>
      <w:contextualSpacing/>
    </w:pPr>
  </w:style>
  <w:style w:type="table" w:styleId="TableGrid">
    <w:name w:val="Table Grid"/>
    <w:basedOn w:val="TableNormal"/>
    <w:uiPriority w:val="39"/>
    <w:rsid w:val="00935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352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5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2F0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5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2F0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2F0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352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E7"/>
    <w:rPr>
      <w:rFonts w:ascii="Times New Roman" w:eastAsiaTheme="minorEastAsia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11D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7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6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6C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6C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C26B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6BAF"/>
    <w:rPr>
      <w:rFonts w:ascii="Times New Roman" w:eastAsiaTheme="minorEastAsia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6B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B72A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230"/>
  </w:style>
  <w:style w:type="paragraph" w:styleId="EndnoteText">
    <w:name w:val="endnote text"/>
    <w:basedOn w:val="Normal"/>
    <w:link w:val="EndnoteTextChar"/>
    <w:uiPriority w:val="99"/>
    <w:unhideWhenUsed/>
    <w:rsid w:val="00BA3230"/>
  </w:style>
  <w:style w:type="character" w:customStyle="1" w:styleId="EndnoteTextChar">
    <w:name w:val="Endnote Text Char"/>
    <w:basedOn w:val="DefaultParagraphFont"/>
    <w:link w:val="EndnoteText"/>
    <w:uiPriority w:val="99"/>
    <w:rsid w:val="00BA3230"/>
    <w:rPr>
      <w:rFonts w:ascii="Times New Roman" w:eastAsiaTheme="minorEastAsia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BA323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F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istory.www.siia.net/Divisions/FISD-Financial-Information-Services-Association/Programs/Alternative-Data-Counci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ideprivacy.com/data-privacy/polish-supervisory-authority-issues-gdpr-fine-for-data-scraping-without-informing-individual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77DD7-9CA0-4D36-8190-A69CDFA1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2021-01-13T21:48:00Z</dcterms:created>
  <dcterms:modified xsi:type="dcterms:W3CDTF">2021-01-13T21:49:00Z</dcterms:modified>
</cp:coreProperties>
</file>